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8C0F2" w14:textId="42A56880" w:rsidR="001824C8" w:rsidRDefault="006D25B8">
      <w:r>
        <w:rPr>
          <w:noProof/>
        </w:rPr>
        <w:drawing>
          <wp:inline distT="0" distB="0" distL="0" distR="0" wp14:anchorId="5EA6BBCF" wp14:editId="39C041E5">
            <wp:extent cx="4195068" cy="1266825"/>
            <wp:effectExtent l="0" t="0" r="0" b="0"/>
            <wp:docPr id="2026632419" name="Picture 1" descr="A person standing in front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632419" name="Picture 1" descr="A person standing in front of a sig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262680" cy="1287242"/>
                    </a:xfrm>
                    <a:prstGeom prst="rect">
                      <a:avLst/>
                    </a:prstGeom>
                  </pic:spPr>
                </pic:pic>
              </a:graphicData>
            </a:graphic>
          </wp:inline>
        </w:drawing>
      </w:r>
    </w:p>
    <w:p w14:paraId="165BFB86" w14:textId="6410D997" w:rsidR="006D25B8" w:rsidRPr="00F03037" w:rsidRDefault="00662057" w:rsidP="00662057">
      <w:pPr>
        <w:rPr>
          <w:b/>
          <w:bCs/>
          <w:sz w:val="28"/>
          <w:szCs w:val="28"/>
        </w:rPr>
      </w:pPr>
      <w:r w:rsidRPr="00662057">
        <w:rPr>
          <w:b/>
          <w:bCs/>
          <w:caps/>
          <w:sz w:val="28"/>
          <w:szCs w:val="28"/>
          <w:lang w:val="de-DE"/>
        </w:rPr>
        <w:t xml:space="preserve">Brüsseler Möbelmesse – Pressekonferenz </w:t>
      </w:r>
      <w:r w:rsidRPr="00662057">
        <w:rPr>
          <w:b/>
          <w:bCs/>
          <w:sz w:val="28"/>
          <w:szCs w:val="28"/>
          <w:lang w:val="de-DE"/>
        </w:rPr>
        <w:t>2024</w:t>
      </w:r>
    </w:p>
    <w:p w14:paraId="0D5EBE31" w14:textId="19C5979E" w:rsidR="006D25B8" w:rsidRDefault="006D25B8" w:rsidP="006D25B8">
      <w:pPr>
        <w:rPr>
          <w:sz w:val="24"/>
          <w:szCs w:val="24"/>
        </w:rPr>
      </w:pPr>
    </w:p>
    <w:p w14:paraId="561A113E" w14:textId="77A9B01A" w:rsidR="006D25B8" w:rsidRPr="00961E0A" w:rsidRDefault="00662057" w:rsidP="00662057">
      <w:pPr>
        <w:pStyle w:val="ListParagraph"/>
        <w:numPr>
          <w:ilvl w:val="0"/>
          <w:numId w:val="2"/>
        </w:numPr>
        <w:rPr>
          <w:sz w:val="24"/>
          <w:szCs w:val="24"/>
          <w:lang w:val="en-GB"/>
        </w:rPr>
      </w:pPr>
      <w:r w:rsidRPr="00662057">
        <w:rPr>
          <w:sz w:val="24"/>
          <w:szCs w:val="24"/>
          <w:lang w:val="de-DE"/>
        </w:rPr>
        <w:t xml:space="preserve">Begrüßung durch </w:t>
      </w:r>
      <w:r w:rsidR="00961E0A">
        <w:rPr>
          <w:sz w:val="24"/>
          <w:szCs w:val="24"/>
          <w:lang w:val="de-DE"/>
        </w:rPr>
        <w:t>Thomas Hibert,</w:t>
      </w:r>
      <w:r w:rsidRPr="00662057">
        <w:rPr>
          <w:sz w:val="24"/>
          <w:szCs w:val="24"/>
          <w:lang w:val="de-DE"/>
        </w:rPr>
        <w:t xml:space="preserve"> Brüsseler Möbelmesse</w:t>
      </w:r>
    </w:p>
    <w:p w14:paraId="3F30F92C" w14:textId="033B47B9" w:rsidR="006D25B8" w:rsidRPr="00F03037" w:rsidRDefault="00662057" w:rsidP="00662057">
      <w:pPr>
        <w:pStyle w:val="ListParagraph"/>
        <w:numPr>
          <w:ilvl w:val="0"/>
          <w:numId w:val="2"/>
        </w:numPr>
        <w:rPr>
          <w:sz w:val="24"/>
          <w:szCs w:val="24"/>
          <w:lang w:val="nl-BE"/>
        </w:rPr>
      </w:pPr>
      <w:r w:rsidRPr="00662057">
        <w:rPr>
          <w:sz w:val="24"/>
          <w:szCs w:val="24"/>
          <w:lang w:val="de-DE"/>
        </w:rPr>
        <w:t xml:space="preserve">Konjunkturbericht 2024, </w:t>
      </w:r>
      <w:r w:rsidR="00850A02">
        <w:rPr>
          <w:sz w:val="24"/>
          <w:szCs w:val="24"/>
          <w:lang w:val="de-DE"/>
        </w:rPr>
        <w:t xml:space="preserve">vorgestellt von </w:t>
      </w:r>
      <w:r w:rsidRPr="00662057">
        <w:rPr>
          <w:sz w:val="24"/>
          <w:szCs w:val="24"/>
          <w:lang w:val="de-DE"/>
        </w:rPr>
        <w:t xml:space="preserve">Filip De Jaeger, COO </w:t>
      </w:r>
      <w:proofErr w:type="spellStart"/>
      <w:r w:rsidRPr="00662057">
        <w:rPr>
          <w:sz w:val="24"/>
          <w:szCs w:val="24"/>
          <w:lang w:val="de-DE"/>
        </w:rPr>
        <w:t>Fedustria</w:t>
      </w:r>
      <w:proofErr w:type="spellEnd"/>
    </w:p>
    <w:p w14:paraId="5A8494DB" w14:textId="6A9C6A6C" w:rsidR="004D5C96" w:rsidRPr="00F03037" w:rsidRDefault="00662057" w:rsidP="00662057">
      <w:pPr>
        <w:pStyle w:val="ListParagraph"/>
        <w:numPr>
          <w:ilvl w:val="0"/>
          <w:numId w:val="2"/>
        </w:numPr>
        <w:rPr>
          <w:sz w:val="24"/>
          <w:szCs w:val="24"/>
          <w:lang w:val="nl-BE"/>
        </w:rPr>
      </w:pPr>
      <w:r w:rsidRPr="00662057">
        <w:rPr>
          <w:sz w:val="24"/>
          <w:szCs w:val="24"/>
          <w:lang w:val="de-DE"/>
        </w:rPr>
        <w:t>Brüsseler Möbelmesse</w:t>
      </w:r>
      <w:r w:rsidR="00961E0A">
        <w:rPr>
          <w:sz w:val="24"/>
          <w:szCs w:val="24"/>
          <w:lang w:val="de-DE"/>
        </w:rPr>
        <w:t>, vorgestellt von Glenn De Maeseneer</w:t>
      </w:r>
    </w:p>
    <w:p w14:paraId="31E58DA6" w14:textId="77777777" w:rsidR="00DD3B76" w:rsidRPr="00AA5743" w:rsidRDefault="00DD3B76" w:rsidP="00DD3B76">
      <w:pPr>
        <w:spacing w:before="120" w:after="120" w:line="240" w:lineRule="auto"/>
        <w:contextualSpacing/>
        <w:rPr>
          <w:rFonts w:cstheme="minorHAnsi"/>
          <w:b/>
          <w:bCs/>
          <w:sz w:val="28"/>
          <w:szCs w:val="28"/>
          <w:lang w:val="de-DE"/>
        </w:rPr>
      </w:pPr>
    </w:p>
    <w:p w14:paraId="4E77EF52" w14:textId="792E3BAD" w:rsidR="00DD3B76" w:rsidRPr="00AA5743" w:rsidRDefault="00DD3B76" w:rsidP="00DD3B76">
      <w:pPr>
        <w:spacing w:before="120" w:after="120" w:line="240" w:lineRule="auto"/>
        <w:ind w:left="360"/>
        <w:contextualSpacing/>
        <w:rPr>
          <w:rFonts w:cstheme="minorHAnsi"/>
          <w:b/>
          <w:bCs/>
          <w:sz w:val="28"/>
          <w:szCs w:val="28"/>
          <w:lang w:val="de-DE"/>
        </w:rPr>
      </w:pPr>
      <w:r>
        <w:rPr>
          <w:rFonts w:cstheme="minorHAnsi"/>
          <w:b/>
          <w:bCs/>
          <w:sz w:val="28"/>
          <w:szCs w:val="28"/>
          <w:lang w:val="de"/>
        </w:rPr>
        <w:t xml:space="preserve">2. </w:t>
      </w:r>
      <w:r w:rsidRPr="00DC3722">
        <w:rPr>
          <w:rFonts w:cstheme="minorHAnsi"/>
          <w:b/>
          <w:bCs/>
          <w:sz w:val="28"/>
          <w:szCs w:val="28"/>
          <w:lang w:val="de"/>
        </w:rPr>
        <w:t>Konjunktur in der belgischen Möbelindustrie im Jahr 2023 und 6 M 2024</w:t>
      </w:r>
    </w:p>
    <w:p w14:paraId="6A250AB5" w14:textId="77777777" w:rsidR="00DD3B76" w:rsidRPr="00AA5743" w:rsidRDefault="00DD3B76" w:rsidP="00DD3B76">
      <w:pPr>
        <w:spacing w:before="120" w:after="120" w:line="240" w:lineRule="auto"/>
        <w:contextualSpacing/>
        <w:rPr>
          <w:rFonts w:cstheme="minorHAnsi"/>
          <w:lang w:val="de-DE"/>
        </w:rPr>
      </w:pPr>
    </w:p>
    <w:p w14:paraId="2A18AD81" w14:textId="77777777" w:rsidR="00DD3B76" w:rsidRPr="00AA5743" w:rsidRDefault="00DD3B76" w:rsidP="00DD3B76">
      <w:pPr>
        <w:suppressAutoHyphens/>
        <w:autoSpaceDE w:val="0"/>
        <w:autoSpaceDN w:val="0"/>
        <w:adjustRightInd w:val="0"/>
        <w:spacing w:before="120" w:after="120" w:line="240" w:lineRule="auto"/>
        <w:contextualSpacing/>
        <w:textAlignment w:val="center"/>
        <w:rPr>
          <w:rFonts w:cstheme="minorHAnsi"/>
          <w:b/>
          <w:bCs/>
          <w:color w:val="000000"/>
          <w:lang w:val="de-DE"/>
        </w:rPr>
      </w:pPr>
      <w:r>
        <w:rPr>
          <w:rFonts w:cstheme="minorHAnsi"/>
          <w:b/>
          <w:bCs/>
          <w:color w:val="000000"/>
          <w:lang w:val="de"/>
        </w:rPr>
        <w:t xml:space="preserve">UMSATZRÜCKGANG AUFGRUND DER BEEINTRÄCHTIGTEN WETTBEWERBSFÄHIGKEIT UND DER SCHWACHEN NACHFRAGE </w:t>
      </w:r>
    </w:p>
    <w:p w14:paraId="0FC4E8FC" w14:textId="77777777" w:rsidR="00DD3B76" w:rsidRPr="00AA5743" w:rsidRDefault="00DD3B76" w:rsidP="00DD3B76">
      <w:pPr>
        <w:suppressAutoHyphens/>
        <w:autoSpaceDE w:val="0"/>
        <w:autoSpaceDN w:val="0"/>
        <w:adjustRightInd w:val="0"/>
        <w:spacing w:after="0" w:line="240" w:lineRule="auto"/>
        <w:contextualSpacing/>
        <w:textAlignment w:val="center"/>
        <w:rPr>
          <w:rFonts w:cstheme="minorHAnsi"/>
          <w:color w:val="000000"/>
          <w:lang w:val="de-DE"/>
        </w:rPr>
      </w:pPr>
    </w:p>
    <w:p w14:paraId="102ACB17" w14:textId="77777777" w:rsidR="00DD3B76" w:rsidRPr="00E66D3F" w:rsidRDefault="00DD3B76" w:rsidP="00DD3B76">
      <w:pPr>
        <w:spacing w:after="0" w:line="240" w:lineRule="auto"/>
        <w:rPr>
          <w:rFonts w:cstheme="minorHAnsi"/>
          <w:u w:val="single"/>
        </w:rPr>
      </w:pPr>
      <w:r w:rsidRPr="00E66D3F">
        <w:rPr>
          <w:rFonts w:cstheme="minorHAnsi"/>
          <w:u w:val="single"/>
          <w:lang w:val="de"/>
        </w:rPr>
        <w:t>Die belgische Möbelindustrie</w:t>
      </w:r>
    </w:p>
    <w:p w14:paraId="54BDE607" w14:textId="77777777" w:rsidR="00DD3B76" w:rsidRPr="00E66D3F" w:rsidRDefault="00DD3B76" w:rsidP="00DD3B76">
      <w:pPr>
        <w:spacing w:after="0" w:line="240" w:lineRule="auto"/>
        <w:rPr>
          <w:rFonts w:cstheme="minorHAnsi"/>
        </w:rPr>
      </w:pPr>
    </w:p>
    <w:p w14:paraId="142E8EFC" w14:textId="77777777" w:rsidR="00DD3B76" w:rsidRPr="00E66D3F" w:rsidRDefault="00DD3B76" w:rsidP="00DD3B76">
      <w:pPr>
        <w:pBdr>
          <w:top w:val="single" w:sz="4" w:space="1" w:color="auto"/>
          <w:left w:val="single" w:sz="4" w:space="1" w:color="auto"/>
          <w:bottom w:val="single" w:sz="4" w:space="1" w:color="auto"/>
          <w:right w:val="single" w:sz="4" w:space="1" w:color="auto"/>
        </w:pBdr>
        <w:spacing w:after="0" w:line="240" w:lineRule="auto"/>
      </w:pPr>
      <w:r w:rsidRPr="00E66D3F">
        <w:rPr>
          <w:lang w:val="de"/>
        </w:rPr>
        <w:t>Schlüsselzahlen (2023)</w:t>
      </w:r>
    </w:p>
    <w:p w14:paraId="5930175D" w14:textId="77777777" w:rsidR="00DD3B76" w:rsidRPr="00E66D3F" w:rsidRDefault="00DD3B76" w:rsidP="00DD3B76">
      <w:pPr>
        <w:pBdr>
          <w:top w:val="single" w:sz="4" w:space="1" w:color="auto"/>
          <w:left w:val="single" w:sz="4" w:space="1" w:color="auto"/>
          <w:bottom w:val="single" w:sz="4" w:space="1" w:color="auto"/>
          <w:right w:val="single" w:sz="4" w:space="1" w:color="auto"/>
        </w:pBdr>
        <w:spacing w:after="0" w:line="240" w:lineRule="auto"/>
        <w:rPr>
          <w:rFonts w:cstheme="minorHAnsi"/>
          <w:sz w:val="14"/>
        </w:rPr>
      </w:pPr>
    </w:p>
    <w:p w14:paraId="24FD1F02" w14:textId="77777777" w:rsidR="00DD3B76" w:rsidRPr="00E66D3F" w:rsidRDefault="00DD3B76" w:rsidP="00DD3B76">
      <w:pPr>
        <w:pStyle w:val="ListParagraph"/>
        <w:numPr>
          <w:ilvl w:val="0"/>
          <w:numId w:val="19"/>
        </w:numPr>
        <w:pBdr>
          <w:top w:val="single" w:sz="4" w:space="1" w:color="auto"/>
          <w:left w:val="single" w:sz="4" w:space="1" w:color="auto"/>
          <w:bottom w:val="single" w:sz="4" w:space="1" w:color="auto"/>
          <w:right w:val="single" w:sz="4" w:space="1" w:color="auto"/>
        </w:pBdr>
        <w:spacing w:after="0" w:line="240" w:lineRule="auto"/>
        <w:ind w:left="284" w:hanging="284"/>
      </w:pPr>
      <w:r>
        <w:rPr>
          <w:lang w:val="de"/>
        </w:rPr>
        <w:t>702 Unternehmen</w:t>
      </w:r>
    </w:p>
    <w:p w14:paraId="1D9B4980" w14:textId="77777777" w:rsidR="00DD3B76" w:rsidRPr="00E66D3F" w:rsidRDefault="00DD3B76" w:rsidP="00DD3B76">
      <w:pPr>
        <w:pStyle w:val="ListParagraph"/>
        <w:numPr>
          <w:ilvl w:val="0"/>
          <w:numId w:val="19"/>
        </w:numPr>
        <w:pBdr>
          <w:top w:val="single" w:sz="4" w:space="1" w:color="auto"/>
          <w:left w:val="single" w:sz="4" w:space="1" w:color="auto"/>
          <w:bottom w:val="single" w:sz="4" w:space="1" w:color="auto"/>
          <w:right w:val="single" w:sz="4" w:space="1" w:color="auto"/>
        </w:pBdr>
        <w:spacing w:after="0" w:line="240" w:lineRule="auto"/>
        <w:ind w:left="284" w:hanging="284"/>
        <w:rPr>
          <w:rFonts w:cstheme="minorHAnsi"/>
        </w:rPr>
      </w:pPr>
      <w:r>
        <w:rPr>
          <w:rFonts w:cstheme="minorHAnsi"/>
          <w:lang w:val="de"/>
        </w:rPr>
        <w:t>9.559 Beschäftigte</w:t>
      </w:r>
    </w:p>
    <w:p w14:paraId="695F68B2" w14:textId="77777777" w:rsidR="00DD3B76" w:rsidRPr="00E66D3F" w:rsidRDefault="00DD3B76" w:rsidP="00DD3B76">
      <w:pPr>
        <w:pStyle w:val="ListParagraph"/>
        <w:numPr>
          <w:ilvl w:val="0"/>
          <w:numId w:val="19"/>
        </w:numPr>
        <w:pBdr>
          <w:top w:val="single" w:sz="4" w:space="1" w:color="auto"/>
          <w:left w:val="single" w:sz="4" w:space="1" w:color="auto"/>
          <w:bottom w:val="single" w:sz="4" w:space="1" w:color="auto"/>
          <w:right w:val="single" w:sz="4" w:space="1" w:color="auto"/>
        </w:pBdr>
        <w:spacing w:after="0" w:line="240" w:lineRule="auto"/>
        <w:ind w:left="284" w:hanging="284"/>
        <w:rPr>
          <w:rFonts w:cstheme="minorHAnsi"/>
        </w:rPr>
      </w:pPr>
      <w:r w:rsidRPr="00E66D3F">
        <w:rPr>
          <w:rFonts w:cstheme="minorHAnsi"/>
          <w:lang w:val="de"/>
        </w:rPr>
        <w:t>Umsatz: 2,1 Milliarden Euro</w:t>
      </w:r>
    </w:p>
    <w:p w14:paraId="0C407385" w14:textId="77777777" w:rsidR="00DD3B76" w:rsidRPr="00AA5743" w:rsidRDefault="00DD3B76" w:rsidP="00DD3B76">
      <w:pPr>
        <w:pStyle w:val="ListParagraph"/>
        <w:numPr>
          <w:ilvl w:val="0"/>
          <w:numId w:val="19"/>
        </w:numPr>
        <w:pBdr>
          <w:top w:val="single" w:sz="4" w:space="1" w:color="auto"/>
          <w:left w:val="single" w:sz="4" w:space="1" w:color="auto"/>
          <w:bottom w:val="single" w:sz="4" w:space="1" w:color="auto"/>
          <w:right w:val="single" w:sz="4" w:space="1" w:color="auto"/>
        </w:pBdr>
        <w:spacing w:after="0" w:line="240" w:lineRule="auto"/>
        <w:ind w:left="284" w:hanging="284"/>
        <w:rPr>
          <w:rFonts w:cstheme="minorHAnsi"/>
          <w:lang w:val="de-DE"/>
        </w:rPr>
      </w:pPr>
      <w:r w:rsidRPr="00E66D3F">
        <w:rPr>
          <w:rFonts w:cstheme="minorHAnsi"/>
          <w:lang w:val="de"/>
        </w:rPr>
        <w:t>Entwicklung der Aktivität nach Wert: -7 %</w:t>
      </w:r>
    </w:p>
    <w:p w14:paraId="1F9C7CA7" w14:textId="77777777" w:rsidR="00DD3B76" w:rsidRPr="00E66D3F" w:rsidRDefault="00DD3B76" w:rsidP="00DD3B76">
      <w:pPr>
        <w:pStyle w:val="ListParagraph"/>
        <w:numPr>
          <w:ilvl w:val="0"/>
          <w:numId w:val="19"/>
        </w:numPr>
        <w:pBdr>
          <w:top w:val="single" w:sz="4" w:space="1" w:color="auto"/>
          <w:left w:val="single" w:sz="4" w:space="1" w:color="auto"/>
          <w:bottom w:val="single" w:sz="4" w:space="1" w:color="auto"/>
          <w:right w:val="single" w:sz="4" w:space="1" w:color="auto"/>
        </w:pBdr>
        <w:spacing w:after="0" w:line="240" w:lineRule="auto"/>
        <w:ind w:left="284" w:hanging="284"/>
        <w:rPr>
          <w:rFonts w:cstheme="minorHAnsi"/>
        </w:rPr>
      </w:pPr>
      <w:r w:rsidRPr="00E66D3F">
        <w:rPr>
          <w:rFonts w:cstheme="minorHAnsi"/>
          <w:lang w:val="de"/>
        </w:rPr>
        <w:t>Exportanteil: 57 %</w:t>
      </w:r>
    </w:p>
    <w:p w14:paraId="5166C325" w14:textId="77777777" w:rsidR="00DD3B76" w:rsidRPr="00AA5743" w:rsidRDefault="00DD3B76" w:rsidP="00DD3B76">
      <w:pPr>
        <w:pStyle w:val="ListParagraph"/>
        <w:numPr>
          <w:ilvl w:val="0"/>
          <w:numId w:val="19"/>
        </w:numPr>
        <w:pBdr>
          <w:top w:val="single" w:sz="4" w:space="1" w:color="auto"/>
          <w:left w:val="single" w:sz="4" w:space="1" w:color="auto"/>
          <w:bottom w:val="single" w:sz="4" w:space="1" w:color="auto"/>
          <w:right w:val="single" w:sz="4" w:space="1" w:color="auto"/>
        </w:pBdr>
        <w:spacing w:after="0" w:line="240" w:lineRule="auto"/>
        <w:ind w:left="284" w:hanging="284"/>
        <w:rPr>
          <w:rFonts w:cstheme="minorHAnsi"/>
          <w:lang w:val="de-DE"/>
        </w:rPr>
      </w:pPr>
      <w:r w:rsidRPr="00E66D3F">
        <w:rPr>
          <w:rFonts w:cstheme="minorHAnsi"/>
          <w:lang w:val="de"/>
        </w:rPr>
        <w:t>Anteil am Gesamtumsatz der belgischen Holz- und Möbelindustrie: 35 %</w:t>
      </w:r>
    </w:p>
    <w:p w14:paraId="6E595049" w14:textId="77777777" w:rsidR="00DD3B76" w:rsidRPr="00AA5743" w:rsidRDefault="00DD3B76" w:rsidP="00DD3B76">
      <w:pPr>
        <w:pBdr>
          <w:top w:val="single" w:sz="4" w:space="1" w:color="auto"/>
          <w:left w:val="single" w:sz="4" w:space="1" w:color="auto"/>
          <w:bottom w:val="single" w:sz="4" w:space="1" w:color="auto"/>
          <w:right w:val="single" w:sz="4" w:space="1" w:color="auto"/>
        </w:pBdr>
        <w:spacing w:after="0" w:line="240" w:lineRule="auto"/>
        <w:rPr>
          <w:rFonts w:cstheme="minorHAnsi"/>
          <w:sz w:val="10"/>
          <w:szCs w:val="10"/>
          <w:lang w:val="de-DE"/>
        </w:rPr>
      </w:pPr>
    </w:p>
    <w:p w14:paraId="7369E54C" w14:textId="77777777" w:rsidR="00DD3B76" w:rsidRPr="00AA5743" w:rsidRDefault="00DD3B76" w:rsidP="00DD3B76">
      <w:pPr>
        <w:tabs>
          <w:tab w:val="left" w:pos="-828"/>
          <w:tab w:val="left" w:pos="4253"/>
        </w:tabs>
        <w:suppressAutoHyphens/>
        <w:spacing w:after="0" w:line="240" w:lineRule="auto"/>
        <w:jc w:val="both"/>
        <w:rPr>
          <w:rFonts w:cstheme="minorHAnsi"/>
          <w:spacing w:val="-3"/>
          <w:lang w:val="de-DE"/>
        </w:rPr>
      </w:pPr>
    </w:p>
    <w:p w14:paraId="408E7A4A" w14:textId="77777777" w:rsidR="00DD3B76" w:rsidRPr="00AA5743" w:rsidRDefault="00DD3B76" w:rsidP="00DD3B76">
      <w:pPr>
        <w:tabs>
          <w:tab w:val="left" w:pos="-828"/>
          <w:tab w:val="left" w:pos="4253"/>
        </w:tabs>
        <w:suppressAutoHyphens/>
        <w:spacing w:after="0" w:line="240" w:lineRule="auto"/>
        <w:jc w:val="both"/>
        <w:rPr>
          <w:rFonts w:cstheme="minorHAnsi"/>
          <w:spacing w:val="-3"/>
          <w:u w:val="single"/>
          <w:lang w:val="de-DE"/>
        </w:rPr>
      </w:pPr>
      <w:r w:rsidRPr="00E66D3F">
        <w:rPr>
          <w:rFonts w:cstheme="minorHAnsi"/>
          <w:spacing w:val="-3"/>
          <w:u w:val="single"/>
          <w:lang w:val="de"/>
        </w:rPr>
        <w:t>Zusammenfassende Entwicklungen in der ersten Hälfte des Jahres 2024</w:t>
      </w:r>
    </w:p>
    <w:p w14:paraId="34F62F17" w14:textId="77777777" w:rsidR="00DD3B76" w:rsidRPr="00AA5743" w:rsidRDefault="00DD3B76" w:rsidP="00DD3B76">
      <w:pPr>
        <w:tabs>
          <w:tab w:val="left" w:pos="-828"/>
          <w:tab w:val="left" w:pos="4253"/>
        </w:tabs>
        <w:suppressAutoHyphens/>
        <w:spacing w:after="0" w:line="240" w:lineRule="auto"/>
        <w:jc w:val="both"/>
        <w:rPr>
          <w:rFonts w:cstheme="minorHAnsi"/>
          <w:spacing w:val="-3"/>
          <w:lang w:val="de-DE"/>
        </w:rPr>
      </w:pPr>
    </w:p>
    <w:p w14:paraId="637966C3" w14:textId="77777777" w:rsidR="00DD3B76" w:rsidRPr="00390228" w:rsidRDefault="00DD3B76" w:rsidP="00DD3B76">
      <w:pPr>
        <w:pStyle w:val="ListParagraph"/>
        <w:numPr>
          <w:ilvl w:val="0"/>
          <w:numId w:val="20"/>
        </w:numPr>
        <w:tabs>
          <w:tab w:val="left" w:pos="4253"/>
        </w:tabs>
        <w:suppressAutoHyphens/>
        <w:spacing w:after="0" w:line="240" w:lineRule="auto"/>
        <w:ind w:left="284" w:hanging="284"/>
        <w:jc w:val="both"/>
        <w:rPr>
          <w:spacing w:val="-3"/>
        </w:rPr>
      </w:pPr>
      <w:r w:rsidRPr="1C83DAF5">
        <w:rPr>
          <w:spacing w:val="-3"/>
          <w:lang w:val="de"/>
        </w:rPr>
        <w:t xml:space="preserve">Umsatz: 1.023,1 Millionen €, -7,8 % im Vergleich zum ersten Halbjahr 2023. Realer Rückgang des Volumens um 7,1 % </w:t>
      </w:r>
    </w:p>
    <w:p w14:paraId="436825C6" w14:textId="77777777" w:rsidR="00DD3B76" w:rsidRPr="00AA5743" w:rsidRDefault="00DD3B76" w:rsidP="00DD3B76">
      <w:pPr>
        <w:pStyle w:val="ListParagraph"/>
        <w:numPr>
          <w:ilvl w:val="0"/>
          <w:numId w:val="20"/>
        </w:numPr>
        <w:tabs>
          <w:tab w:val="left" w:pos="4253"/>
        </w:tabs>
        <w:suppressAutoHyphens/>
        <w:spacing w:after="0" w:line="240" w:lineRule="auto"/>
        <w:ind w:left="284" w:hanging="284"/>
        <w:jc w:val="both"/>
        <w:rPr>
          <w:spacing w:val="-3"/>
          <w:lang w:val="de-DE"/>
        </w:rPr>
      </w:pPr>
      <w:r w:rsidRPr="1C83DAF5">
        <w:rPr>
          <w:spacing w:val="-3"/>
          <w:lang w:val="de"/>
        </w:rPr>
        <w:t>Investitionen: -15,8 % im ersten Halbjahr 2024; 41,6 Millionen Euro</w:t>
      </w:r>
    </w:p>
    <w:p w14:paraId="0D7DFC18" w14:textId="77777777" w:rsidR="00DD3B76" w:rsidRPr="00390228" w:rsidRDefault="00DD3B76" w:rsidP="00DD3B76">
      <w:pPr>
        <w:pStyle w:val="ListParagraph"/>
        <w:numPr>
          <w:ilvl w:val="0"/>
          <w:numId w:val="20"/>
        </w:numPr>
        <w:tabs>
          <w:tab w:val="left" w:pos="-828"/>
          <w:tab w:val="left" w:pos="4253"/>
        </w:tabs>
        <w:suppressAutoHyphens/>
        <w:spacing w:after="0" w:line="240" w:lineRule="auto"/>
        <w:ind w:left="284" w:hanging="284"/>
        <w:jc w:val="both"/>
        <w:rPr>
          <w:rFonts w:cstheme="minorHAnsi"/>
          <w:spacing w:val="-3"/>
        </w:rPr>
      </w:pPr>
      <w:r w:rsidRPr="00390228">
        <w:rPr>
          <w:rFonts w:cstheme="minorHAnsi"/>
          <w:spacing w:val="-3"/>
          <w:lang w:val="de"/>
        </w:rPr>
        <w:t xml:space="preserve">Kapazitätsauslastung: 70,6 % </w:t>
      </w:r>
    </w:p>
    <w:p w14:paraId="353CCC0F" w14:textId="77777777" w:rsidR="00DD3B76" w:rsidRPr="00390228" w:rsidRDefault="00DD3B76" w:rsidP="00DD3B76">
      <w:pPr>
        <w:pStyle w:val="ListParagraph"/>
        <w:numPr>
          <w:ilvl w:val="0"/>
          <w:numId w:val="20"/>
        </w:numPr>
        <w:tabs>
          <w:tab w:val="left" w:pos="4253"/>
        </w:tabs>
        <w:suppressAutoHyphens/>
        <w:spacing w:after="0" w:line="240" w:lineRule="auto"/>
        <w:ind w:left="284" w:hanging="284"/>
        <w:jc w:val="both"/>
      </w:pPr>
      <w:r w:rsidRPr="1C83DAF5">
        <w:rPr>
          <w:spacing w:val="-3"/>
          <w:lang w:val="de"/>
        </w:rPr>
        <w:t>Exporte: +0,4 % im Vergleich zum gleichen Zeitraum 2023. Deutschland verdrängt die Niederlande mit einem starken Anstieg von 46,4 % vom zweiten Platz der Absatzmärkte. Frankreich bleibt der größte Absatzmarkt</w:t>
      </w:r>
    </w:p>
    <w:p w14:paraId="786D1CC9" w14:textId="77777777" w:rsidR="00DD3B76" w:rsidRPr="00AA5743" w:rsidRDefault="00DD3B76" w:rsidP="00DD3B76">
      <w:pPr>
        <w:pStyle w:val="ListParagraph"/>
        <w:numPr>
          <w:ilvl w:val="0"/>
          <w:numId w:val="20"/>
        </w:numPr>
        <w:tabs>
          <w:tab w:val="left" w:pos="4253"/>
        </w:tabs>
        <w:suppressAutoHyphens/>
        <w:spacing w:after="0" w:line="240" w:lineRule="auto"/>
        <w:ind w:left="284" w:hanging="284"/>
        <w:jc w:val="both"/>
        <w:rPr>
          <w:lang w:val="de-DE"/>
        </w:rPr>
      </w:pPr>
      <w:r w:rsidRPr="00390228">
        <w:rPr>
          <w:spacing w:val="-3"/>
          <w:lang w:val="de"/>
        </w:rPr>
        <w:t>Importe: +1,1% im Vergleich zum gleichen Zeitraum 2023</w:t>
      </w:r>
    </w:p>
    <w:p w14:paraId="0CF633D9" w14:textId="77777777" w:rsidR="00DD3B76" w:rsidRPr="00AA5743" w:rsidRDefault="00DD3B76" w:rsidP="00DD3B76">
      <w:pPr>
        <w:suppressAutoHyphens/>
        <w:autoSpaceDE w:val="0"/>
        <w:autoSpaceDN w:val="0"/>
        <w:adjustRightInd w:val="0"/>
        <w:spacing w:before="120" w:after="120" w:line="240" w:lineRule="auto"/>
        <w:contextualSpacing/>
        <w:textAlignment w:val="center"/>
        <w:rPr>
          <w:rFonts w:cstheme="minorHAnsi"/>
          <w:b/>
          <w:bCs/>
          <w:color w:val="000000"/>
          <w:lang w:val="de-DE"/>
        </w:rPr>
      </w:pPr>
    </w:p>
    <w:p w14:paraId="5C2FC3CD" w14:textId="77777777" w:rsidR="00DD3B76" w:rsidRPr="00AA5743" w:rsidRDefault="00DD3B76" w:rsidP="00DD3B76">
      <w:pPr>
        <w:pStyle w:val="BodyText"/>
        <w:rPr>
          <w:lang w:val="de-DE"/>
        </w:rPr>
      </w:pPr>
      <w:r w:rsidRPr="1C83DAF5">
        <w:rPr>
          <w:color w:val="000000" w:themeColor="text1"/>
          <w:lang w:val="de"/>
        </w:rPr>
        <w:t xml:space="preserve">In der Möbelindustrie sank der Umsatz 2023 wertmäßig um 7 %, nachdem er sich 2022 stabilisiert hatte (-0,4 %), und erreichte 2,1 Milliarden Euro. Das Produktionsvolumen sank um 10,9 %, während die Verkaufspreise um 3,9 % stiegen. </w:t>
      </w:r>
      <w:r w:rsidRPr="1C83DAF5">
        <w:rPr>
          <w:lang w:val="de"/>
        </w:rPr>
        <w:t xml:space="preserve">Die gestiegenen Verkaufspreise im Jahr </w:t>
      </w:r>
      <w:r w:rsidRPr="1C83DAF5">
        <w:rPr>
          <w:lang w:val="de"/>
        </w:rPr>
        <w:lastRenderedPageBreak/>
        <w:t xml:space="preserve">2023 spiegeln die teilweise Weitergabe der höheren Rohstoff-, Material-, Energie- und Lohnkosten wider. </w:t>
      </w:r>
    </w:p>
    <w:p w14:paraId="2F77839D" w14:textId="77777777" w:rsidR="00DD3B76" w:rsidRPr="00AA5743" w:rsidRDefault="00DD3B76" w:rsidP="00DD3B76">
      <w:pPr>
        <w:spacing w:before="120" w:after="120" w:line="240" w:lineRule="auto"/>
        <w:jc w:val="both"/>
        <w:rPr>
          <w:color w:val="000000"/>
          <w:lang w:val="de-DE"/>
        </w:rPr>
      </w:pPr>
      <w:r w:rsidRPr="1C83DAF5">
        <w:rPr>
          <w:color w:val="000000" w:themeColor="text1"/>
          <w:lang w:val="de"/>
        </w:rPr>
        <w:t xml:space="preserve">Küchenmöbel sind die einzige Produktgruppe, die ihren Umsatz im Jahr 2023 halten konnte (+0,8 % im Wert); dies aufgrund eines Anstiegs der Verkaufspreise um 8,6 %. Das Produktionsvolumen sank um 7,8 %.  Alle anderen Produktgruppen innerhalb der Möbelindustrie verzeichneten sowohl wert- als auch mengenmäßig einen Umsatzrückgang.  Bei Wohnmöbeln sank der Umsatz wertmäßig um 5,5% und mengenmäßig um 11,0 %. Der Umsatz mit Büro- und Einzelhandelsmöbeln (-14,6 % im Wert und -15,8 % im Volumen) sowie mit Matratzen und Lattenrosten (-11,7 % im Wert und -13,8 % im Volumen) ging sowohl wert- als auch mengenmäßig stark zurück.  </w:t>
      </w:r>
    </w:p>
    <w:p w14:paraId="1700E658" w14:textId="77777777" w:rsidR="00DD3B76" w:rsidRPr="00AA5743" w:rsidRDefault="00DD3B76" w:rsidP="00DD3B76">
      <w:pPr>
        <w:autoSpaceDE w:val="0"/>
        <w:autoSpaceDN w:val="0"/>
        <w:adjustRightInd w:val="0"/>
        <w:spacing w:before="120" w:after="120" w:line="240" w:lineRule="auto"/>
        <w:contextualSpacing/>
        <w:jc w:val="both"/>
        <w:textAlignment w:val="center"/>
        <w:rPr>
          <w:rFonts w:cstheme="minorHAnsi"/>
          <w:lang w:val="de-DE"/>
        </w:rPr>
      </w:pPr>
      <w:r w:rsidRPr="006774A6">
        <w:rPr>
          <w:rFonts w:cstheme="minorHAnsi"/>
          <w:lang w:val="de"/>
        </w:rPr>
        <w:t xml:space="preserve">Auch aufgrund der schwachen Bautätigkeit blieb die Nachfrage gering und die Situation auf den Exportmärkten war ähnlich. </w:t>
      </w:r>
    </w:p>
    <w:p w14:paraId="18917C50" w14:textId="77777777" w:rsidR="00DD3B76" w:rsidRPr="00AA5743" w:rsidRDefault="00DD3B76" w:rsidP="00DD3B76">
      <w:pPr>
        <w:autoSpaceDE w:val="0"/>
        <w:autoSpaceDN w:val="0"/>
        <w:adjustRightInd w:val="0"/>
        <w:spacing w:before="120" w:after="120" w:line="240" w:lineRule="auto"/>
        <w:contextualSpacing/>
        <w:jc w:val="both"/>
        <w:textAlignment w:val="center"/>
        <w:rPr>
          <w:rFonts w:cstheme="minorHAnsi"/>
          <w:lang w:val="de-DE"/>
        </w:rPr>
      </w:pPr>
    </w:p>
    <w:p w14:paraId="205AC156" w14:textId="77777777" w:rsidR="00DD3B76" w:rsidRPr="00AA5743" w:rsidRDefault="00DD3B76" w:rsidP="00DD3B76">
      <w:pPr>
        <w:autoSpaceDE w:val="0"/>
        <w:autoSpaceDN w:val="0"/>
        <w:adjustRightInd w:val="0"/>
        <w:spacing w:before="120" w:after="120" w:line="240" w:lineRule="auto"/>
        <w:contextualSpacing/>
        <w:jc w:val="both"/>
        <w:textAlignment w:val="center"/>
        <w:rPr>
          <w:lang w:val="de-DE"/>
        </w:rPr>
      </w:pPr>
      <w:r w:rsidRPr="1C83DAF5">
        <w:rPr>
          <w:lang w:val="de"/>
        </w:rPr>
        <w:t xml:space="preserve">Im ersten Halbjahr 2024 sank der Umsatz weiter um 7,8 % im Wert und um 7,1 % im Volumen.  Der Umsatz aller Produktgruppen ging sowohl wert- als auch mengenmäßig zurück.  </w:t>
      </w:r>
    </w:p>
    <w:p w14:paraId="54B7C387" w14:textId="77777777" w:rsidR="00DD3B76" w:rsidRPr="00AA5743" w:rsidRDefault="00DD3B76" w:rsidP="00DD3B76">
      <w:pPr>
        <w:spacing w:before="120" w:after="120" w:line="240" w:lineRule="auto"/>
        <w:contextualSpacing/>
        <w:jc w:val="both"/>
        <w:rPr>
          <w:lang w:val="de-DE"/>
        </w:rPr>
      </w:pPr>
    </w:p>
    <w:p w14:paraId="28D4F03B" w14:textId="77777777" w:rsidR="00DD3B76" w:rsidRDefault="00DD3B76" w:rsidP="00DD3B76">
      <w:pPr>
        <w:suppressAutoHyphens/>
        <w:autoSpaceDE w:val="0"/>
        <w:autoSpaceDN w:val="0"/>
        <w:adjustRightInd w:val="0"/>
        <w:spacing w:before="120" w:after="120" w:line="240" w:lineRule="auto"/>
        <w:contextualSpacing/>
        <w:jc w:val="center"/>
        <w:textAlignment w:val="center"/>
        <w:rPr>
          <w:rFonts w:cstheme="minorHAnsi"/>
          <w:b/>
          <w:bCs/>
          <w:color w:val="000000"/>
          <w:lang w:val="nl-NL"/>
        </w:rPr>
      </w:pPr>
      <w:r w:rsidRPr="00556AD4">
        <w:rPr>
          <w:rFonts w:cstheme="minorHAnsi"/>
          <w:b/>
          <w:bCs/>
          <w:color w:val="000000"/>
          <w:lang w:val="de"/>
        </w:rPr>
        <w:t>ENTWICKLUNG DES UMSATZES NACH PRODUKTGRUPPEN</w:t>
      </w:r>
    </w:p>
    <w:p w14:paraId="0C10C747" w14:textId="77777777" w:rsidR="00DD3B76" w:rsidRDefault="00DD3B76" w:rsidP="00DD3B76">
      <w:pPr>
        <w:suppressAutoHyphens/>
        <w:autoSpaceDE w:val="0"/>
        <w:autoSpaceDN w:val="0"/>
        <w:adjustRightInd w:val="0"/>
        <w:spacing w:before="120" w:after="120" w:line="240" w:lineRule="auto"/>
        <w:contextualSpacing/>
        <w:jc w:val="center"/>
        <w:textAlignment w:val="center"/>
        <w:rPr>
          <w:rFonts w:cstheme="minorHAnsi"/>
          <w:b/>
          <w:bCs/>
          <w:color w:val="000000"/>
          <w:lang w:val="nl-NL"/>
        </w:rPr>
      </w:pPr>
    </w:p>
    <w:tbl>
      <w:tblPr>
        <w:tblW w:w="10915" w:type="dxa"/>
        <w:tblInd w:w="-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29"/>
        <w:gridCol w:w="1133"/>
        <w:gridCol w:w="1275"/>
        <w:gridCol w:w="1276"/>
        <w:gridCol w:w="1134"/>
        <w:gridCol w:w="1134"/>
        <w:gridCol w:w="1134"/>
      </w:tblGrid>
      <w:tr w:rsidR="00DD3B76" w14:paraId="18F28B6B" w14:textId="77777777" w:rsidTr="00B20E50">
        <w:tc>
          <w:tcPr>
            <w:tcW w:w="3829" w:type="dxa"/>
            <w:vMerge w:val="restart"/>
            <w:tcMar>
              <w:top w:w="91" w:type="dxa"/>
              <w:left w:w="91" w:type="dxa"/>
              <w:bottom w:w="91" w:type="dxa"/>
              <w:right w:w="91" w:type="dxa"/>
            </w:tcMar>
            <w:vAlign w:val="center"/>
          </w:tcPr>
          <w:p w14:paraId="7AB998F9" w14:textId="77777777" w:rsidR="00DD3B76" w:rsidRPr="00802EFC" w:rsidRDefault="00DD3B76" w:rsidP="00B20E50">
            <w:pPr>
              <w:suppressAutoHyphens/>
              <w:autoSpaceDE w:val="0"/>
              <w:autoSpaceDN w:val="0"/>
              <w:adjustRightInd w:val="0"/>
              <w:spacing w:after="0" w:line="240" w:lineRule="auto"/>
              <w:jc w:val="center"/>
              <w:textAlignment w:val="center"/>
              <w:rPr>
                <w:rFonts w:cstheme="minorHAnsi"/>
                <w:b/>
                <w:bCs/>
              </w:rPr>
            </w:pPr>
          </w:p>
        </w:tc>
        <w:tc>
          <w:tcPr>
            <w:tcW w:w="1133" w:type="dxa"/>
            <w:vAlign w:val="center"/>
          </w:tcPr>
          <w:p w14:paraId="3D2E92C6" w14:textId="77777777" w:rsidR="00DD3B76" w:rsidRDefault="00DD3B76" w:rsidP="00B20E50">
            <w:pPr>
              <w:suppressAutoHyphens/>
              <w:autoSpaceDE w:val="0"/>
              <w:autoSpaceDN w:val="0"/>
              <w:adjustRightInd w:val="0"/>
              <w:spacing w:after="0" w:line="240" w:lineRule="auto"/>
              <w:jc w:val="center"/>
              <w:textAlignment w:val="center"/>
              <w:rPr>
                <w:rFonts w:cstheme="minorHAnsi"/>
                <w:b/>
                <w:bCs/>
                <w:lang w:val="en-US"/>
              </w:rPr>
            </w:pPr>
            <w:r>
              <w:rPr>
                <w:rFonts w:cstheme="minorHAnsi"/>
                <w:b/>
                <w:bCs/>
                <w:lang w:val="de"/>
              </w:rPr>
              <w:t>In Millionen Euro</w:t>
            </w:r>
          </w:p>
        </w:tc>
        <w:tc>
          <w:tcPr>
            <w:tcW w:w="1275" w:type="dxa"/>
            <w:vAlign w:val="center"/>
          </w:tcPr>
          <w:p w14:paraId="3EC19BC2" w14:textId="77777777" w:rsidR="00DD3B76" w:rsidRDefault="00DD3B76" w:rsidP="00B20E50">
            <w:pPr>
              <w:suppressAutoHyphens/>
              <w:autoSpaceDE w:val="0"/>
              <w:autoSpaceDN w:val="0"/>
              <w:adjustRightInd w:val="0"/>
              <w:spacing w:after="0" w:line="240" w:lineRule="auto"/>
              <w:jc w:val="center"/>
              <w:textAlignment w:val="center"/>
              <w:rPr>
                <w:rFonts w:cstheme="minorHAnsi"/>
                <w:b/>
                <w:bCs/>
                <w:lang w:val="en-US"/>
              </w:rPr>
            </w:pPr>
            <w:r>
              <w:rPr>
                <w:rFonts w:cstheme="minorHAnsi"/>
                <w:b/>
                <w:bCs/>
                <w:lang w:val="de"/>
              </w:rPr>
              <w:t>Entwicklung im Wert</w:t>
            </w:r>
          </w:p>
        </w:tc>
        <w:tc>
          <w:tcPr>
            <w:tcW w:w="1276" w:type="dxa"/>
            <w:vAlign w:val="center"/>
          </w:tcPr>
          <w:p w14:paraId="2481358C" w14:textId="77777777" w:rsidR="00DD3B76" w:rsidRDefault="00DD3B76" w:rsidP="00B20E50">
            <w:pPr>
              <w:suppressAutoHyphens/>
              <w:autoSpaceDE w:val="0"/>
              <w:autoSpaceDN w:val="0"/>
              <w:adjustRightInd w:val="0"/>
              <w:spacing w:after="0" w:line="240" w:lineRule="auto"/>
              <w:jc w:val="center"/>
              <w:textAlignment w:val="center"/>
              <w:rPr>
                <w:rFonts w:cstheme="minorHAnsi"/>
                <w:b/>
                <w:bCs/>
                <w:lang w:val="en-US"/>
              </w:rPr>
            </w:pPr>
            <w:r>
              <w:rPr>
                <w:rFonts w:cstheme="minorHAnsi"/>
                <w:b/>
                <w:bCs/>
                <w:lang w:val="de"/>
              </w:rPr>
              <w:t>Entwicklung des Volumens</w:t>
            </w:r>
          </w:p>
        </w:tc>
        <w:tc>
          <w:tcPr>
            <w:tcW w:w="1134" w:type="dxa"/>
            <w:vAlign w:val="center"/>
          </w:tcPr>
          <w:p w14:paraId="0BF00E0F" w14:textId="77777777" w:rsidR="00DD3B76" w:rsidRDefault="00DD3B76" w:rsidP="00B20E50">
            <w:pPr>
              <w:suppressAutoHyphens/>
              <w:autoSpaceDE w:val="0"/>
              <w:autoSpaceDN w:val="0"/>
              <w:adjustRightInd w:val="0"/>
              <w:spacing w:after="0" w:line="240" w:lineRule="auto"/>
              <w:jc w:val="center"/>
              <w:textAlignment w:val="center"/>
              <w:rPr>
                <w:rFonts w:cstheme="minorHAnsi"/>
                <w:b/>
                <w:bCs/>
                <w:lang w:val="en-US"/>
              </w:rPr>
            </w:pPr>
            <w:r>
              <w:rPr>
                <w:rFonts w:cstheme="minorHAnsi"/>
                <w:b/>
                <w:bCs/>
                <w:lang w:val="de"/>
              </w:rPr>
              <w:t>In Millionen Euro</w:t>
            </w:r>
          </w:p>
        </w:tc>
        <w:tc>
          <w:tcPr>
            <w:tcW w:w="1134" w:type="dxa"/>
            <w:vAlign w:val="center"/>
          </w:tcPr>
          <w:p w14:paraId="135812E5" w14:textId="77777777" w:rsidR="00DD3B76" w:rsidRDefault="00DD3B76" w:rsidP="00B20E50">
            <w:pPr>
              <w:suppressAutoHyphens/>
              <w:autoSpaceDE w:val="0"/>
              <w:autoSpaceDN w:val="0"/>
              <w:adjustRightInd w:val="0"/>
              <w:spacing w:after="0" w:line="240" w:lineRule="auto"/>
              <w:jc w:val="center"/>
              <w:textAlignment w:val="center"/>
              <w:rPr>
                <w:rFonts w:cstheme="minorHAnsi"/>
                <w:b/>
                <w:bCs/>
                <w:lang w:val="en-US"/>
              </w:rPr>
            </w:pPr>
            <w:r>
              <w:rPr>
                <w:rFonts w:cstheme="minorHAnsi"/>
                <w:b/>
                <w:bCs/>
                <w:lang w:val="de"/>
              </w:rPr>
              <w:t>Entwicklung im Wert</w:t>
            </w:r>
          </w:p>
        </w:tc>
        <w:tc>
          <w:tcPr>
            <w:tcW w:w="1134" w:type="dxa"/>
            <w:vAlign w:val="center"/>
          </w:tcPr>
          <w:p w14:paraId="34D98C92" w14:textId="77777777" w:rsidR="00DD3B76" w:rsidRDefault="00DD3B76" w:rsidP="00B20E50">
            <w:pPr>
              <w:suppressAutoHyphens/>
              <w:autoSpaceDE w:val="0"/>
              <w:autoSpaceDN w:val="0"/>
              <w:adjustRightInd w:val="0"/>
              <w:spacing w:after="0" w:line="240" w:lineRule="auto"/>
              <w:jc w:val="center"/>
              <w:textAlignment w:val="center"/>
              <w:rPr>
                <w:rFonts w:cstheme="minorHAnsi"/>
                <w:b/>
                <w:bCs/>
                <w:lang w:val="en-US"/>
              </w:rPr>
            </w:pPr>
            <w:r>
              <w:rPr>
                <w:rFonts w:cstheme="minorHAnsi"/>
                <w:b/>
                <w:bCs/>
                <w:lang w:val="de"/>
              </w:rPr>
              <w:t>Entwicklung des Volumens</w:t>
            </w:r>
          </w:p>
        </w:tc>
      </w:tr>
      <w:tr w:rsidR="00DD3B76" w14:paraId="719D28DC" w14:textId="77777777" w:rsidTr="00B20E50">
        <w:tc>
          <w:tcPr>
            <w:tcW w:w="3829" w:type="dxa"/>
            <w:vMerge/>
            <w:tcMar>
              <w:top w:w="91" w:type="dxa"/>
              <w:left w:w="91" w:type="dxa"/>
              <w:bottom w:w="91" w:type="dxa"/>
              <w:right w:w="91" w:type="dxa"/>
            </w:tcMar>
            <w:vAlign w:val="center"/>
          </w:tcPr>
          <w:p w14:paraId="2BDB3B33" w14:textId="77777777" w:rsidR="00DD3B76" w:rsidRPr="002C5C92" w:rsidRDefault="00DD3B76" w:rsidP="00B20E50">
            <w:pPr>
              <w:suppressAutoHyphens/>
              <w:autoSpaceDE w:val="0"/>
              <w:autoSpaceDN w:val="0"/>
              <w:adjustRightInd w:val="0"/>
              <w:spacing w:after="0" w:line="240" w:lineRule="auto"/>
              <w:jc w:val="center"/>
              <w:textAlignment w:val="center"/>
              <w:rPr>
                <w:rFonts w:cstheme="minorHAnsi"/>
                <w:b/>
                <w:bCs/>
                <w:lang w:val="nl-NL"/>
              </w:rPr>
            </w:pPr>
          </w:p>
        </w:tc>
        <w:tc>
          <w:tcPr>
            <w:tcW w:w="1133" w:type="dxa"/>
            <w:vAlign w:val="center"/>
          </w:tcPr>
          <w:p w14:paraId="147AD744" w14:textId="77777777" w:rsidR="00DD3B76" w:rsidRDefault="00DD3B76" w:rsidP="00B20E50">
            <w:pPr>
              <w:suppressAutoHyphens/>
              <w:autoSpaceDE w:val="0"/>
              <w:autoSpaceDN w:val="0"/>
              <w:adjustRightInd w:val="0"/>
              <w:spacing w:after="0" w:line="240" w:lineRule="auto"/>
              <w:jc w:val="center"/>
              <w:textAlignment w:val="center"/>
              <w:rPr>
                <w:rFonts w:cstheme="minorHAnsi"/>
                <w:b/>
                <w:bCs/>
                <w:lang w:val="en-US"/>
              </w:rPr>
            </w:pPr>
            <w:r w:rsidRPr="002C5C92">
              <w:rPr>
                <w:rFonts w:cstheme="minorHAnsi"/>
                <w:b/>
                <w:bCs/>
                <w:lang w:val="de"/>
              </w:rPr>
              <w:t xml:space="preserve">2023 </w:t>
            </w:r>
          </w:p>
        </w:tc>
        <w:tc>
          <w:tcPr>
            <w:tcW w:w="1275" w:type="dxa"/>
            <w:vAlign w:val="center"/>
          </w:tcPr>
          <w:p w14:paraId="47A106F9" w14:textId="77777777" w:rsidR="00DD3B76" w:rsidRDefault="00DD3B76" w:rsidP="00B20E50">
            <w:pPr>
              <w:suppressAutoHyphens/>
              <w:autoSpaceDE w:val="0"/>
              <w:autoSpaceDN w:val="0"/>
              <w:adjustRightInd w:val="0"/>
              <w:spacing w:after="0" w:line="240" w:lineRule="auto"/>
              <w:jc w:val="center"/>
              <w:textAlignment w:val="center"/>
              <w:rPr>
                <w:rFonts w:cstheme="minorHAnsi"/>
                <w:b/>
                <w:bCs/>
                <w:lang w:val="en-US"/>
              </w:rPr>
            </w:pPr>
            <w:r>
              <w:rPr>
                <w:rFonts w:cstheme="minorHAnsi"/>
                <w:b/>
                <w:bCs/>
                <w:lang w:val="de"/>
              </w:rPr>
              <w:t xml:space="preserve">'23/'22 </w:t>
            </w:r>
          </w:p>
        </w:tc>
        <w:tc>
          <w:tcPr>
            <w:tcW w:w="1276" w:type="dxa"/>
            <w:vAlign w:val="center"/>
          </w:tcPr>
          <w:p w14:paraId="07954BF0" w14:textId="77777777" w:rsidR="00DD3B76" w:rsidRDefault="00DD3B76" w:rsidP="00B20E50">
            <w:pPr>
              <w:suppressAutoHyphens/>
              <w:autoSpaceDE w:val="0"/>
              <w:autoSpaceDN w:val="0"/>
              <w:adjustRightInd w:val="0"/>
              <w:spacing w:after="0" w:line="240" w:lineRule="auto"/>
              <w:jc w:val="center"/>
              <w:textAlignment w:val="center"/>
              <w:rPr>
                <w:rFonts w:cstheme="minorHAnsi"/>
                <w:b/>
                <w:bCs/>
                <w:lang w:val="en-US"/>
              </w:rPr>
            </w:pPr>
            <w:r>
              <w:rPr>
                <w:rFonts w:cstheme="minorHAnsi"/>
                <w:b/>
                <w:bCs/>
                <w:lang w:val="de"/>
              </w:rPr>
              <w:t xml:space="preserve">'23/'22 </w:t>
            </w:r>
          </w:p>
        </w:tc>
        <w:tc>
          <w:tcPr>
            <w:tcW w:w="1134" w:type="dxa"/>
            <w:vAlign w:val="center"/>
          </w:tcPr>
          <w:p w14:paraId="058EE2A0" w14:textId="77777777" w:rsidR="00DD3B76" w:rsidRDefault="00DD3B76" w:rsidP="00B20E50">
            <w:pPr>
              <w:suppressAutoHyphens/>
              <w:autoSpaceDE w:val="0"/>
              <w:autoSpaceDN w:val="0"/>
              <w:adjustRightInd w:val="0"/>
              <w:spacing w:after="0" w:line="240" w:lineRule="auto"/>
              <w:jc w:val="center"/>
              <w:textAlignment w:val="center"/>
              <w:rPr>
                <w:rFonts w:cstheme="minorHAnsi"/>
                <w:b/>
                <w:bCs/>
                <w:lang w:val="en-US"/>
              </w:rPr>
            </w:pPr>
            <w:r>
              <w:rPr>
                <w:rFonts w:cstheme="minorHAnsi"/>
                <w:b/>
                <w:bCs/>
                <w:lang w:val="de"/>
              </w:rPr>
              <w:t>6 M 2024*</w:t>
            </w:r>
          </w:p>
        </w:tc>
        <w:tc>
          <w:tcPr>
            <w:tcW w:w="1134" w:type="dxa"/>
            <w:vAlign w:val="center"/>
          </w:tcPr>
          <w:p w14:paraId="5598BC96" w14:textId="77777777" w:rsidR="00DD3B76" w:rsidRDefault="00DD3B76" w:rsidP="00B20E50">
            <w:pPr>
              <w:suppressAutoHyphens/>
              <w:autoSpaceDE w:val="0"/>
              <w:autoSpaceDN w:val="0"/>
              <w:adjustRightInd w:val="0"/>
              <w:spacing w:after="0" w:line="240" w:lineRule="auto"/>
              <w:jc w:val="center"/>
              <w:textAlignment w:val="center"/>
              <w:rPr>
                <w:rFonts w:cstheme="minorHAnsi"/>
                <w:b/>
                <w:bCs/>
                <w:lang w:val="en-US"/>
              </w:rPr>
            </w:pPr>
            <w:r>
              <w:rPr>
                <w:rFonts w:cstheme="minorHAnsi"/>
                <w:b/>
                <w:bCs/>
                <w:lang w:val="de"/>
              </w:rPr>
              <w:t>6 M '24/'23*</w:t>
            </w:r>
          </w:p>
        </w:tc>
        <w:tc>
          <w:tcPr>
            <w:tcW w:w="1134" w:type="dxa"/>
            <w:vAlign w:val="center"/>
          </w:tcPr>
          <w:p w14:paraId="5F87A3A0" w14:textId="77777777" w:rsidR="00DD3B76" w:rsidRDefault="00DD3B76" w:rsidP="00B20E50">
            <w:pPr>
              <w:suppressAutoHyphens/>
              <w:autoSpaceDE w:val="0"/>
              <w:autoSpaceDN w:val="0"/>
              <w:adjustRightInd w:val="0"/>
              <w:spacing w:after="0" w:line="240" w:lineRule="auto"/>
              <w:jc w:val="center"/>
              <w:textAlignment w:val="center"/>
              <w:rPr>
                <w:rFonts w:cstheme="minorHAnsi"/>
                <w:b/>
                <w:bCs/>
                <w:lang w:val="en-US"/>
              </w:rPr>
            </w:pPr>
            <w:r>
              <w:rPr>
                <w:rFonts w:cstheme="minorHAnsi"/>
                <w:b/>
                <w:bCs/>
                <w:lang w:val="de"/>
              </w:rPr>
              <w:t>6 M '24/'23*</w:t>
            </w:r>
          </w:p>
        </w:tc>
      </w:tr>
      <w:tr w:rsidR="00DD3B76" w14:paraId="449C6642" w14:textId="77777777" w:rsidTr="00B20E50">
        <w:tc>
          <w:tcPr>
            <w:tcW w:w="3829" w:type="dxa"/>
            <w:tcMar>
              <w:top w:w="113" w:type="dxa"/>
              <w:left w:w="91" w:type="dxa"/>
              <w:bottom w:w="113" w:type="dxa"/>
              <w:right w:w="91" w:type="dxa"/>
            </w:tcMar>
            <w:vAlign w:val="center"/>
          </w:tcPr>
          <w:p w14:paraId="353563CD" w14:textId="77777777" w:rsidR="00DD3B76" w:rsidRPr="00AA5743" w:rsidRDefault="00DD3B76" w:rsidP="00B20E50">
            <w:pPr>
              <w:suppressAutoHyphens/>
              <w:autoSpaceDE w:val="0"/>
              <w:autoSpaceDN w:val="0"/>
              <w:adjustRightInd w:val="0"/>
              <w:spacing w:after="0" w:line="240" w:lineRule="auto"/>
              <w:textAlignment w:val="center"/>
              <w:rPr>
                <w:rFonts w:cstheme="minorHAnsi"/>
                <w:lang w:val="de-DE"/>
              </w:rPr>
            </w:pPr>
            <w:r w:rsidRPr="00B955A0">
              <w:rPr>
                <w:rFonts w:cstheme="minorHAnsi"/>
                <w:lang w:val="de"/>
              </w:rPr>
              <w:t xml:space="preserve">Stühle und Sessel, Esszimmer, Schlafzimmer, Badezimmer, Garten- und Terrassenmöbel </w:t>
            </w:r>
          </w:p>
        </w:tc>
        <w:tc>
          <w:tcPr>
            <w:tcW w:w="1133" w:type="dxa"/>
            <w:vAlign w:val="center"/>
          </w:tcPr>
          <w:p w14:paraId="5C428E41" w14:textId="77777777" w:rsidR="00DD3B76" w:rsidRPr="00B955A0" w:rsidRDefault="00DD3B76" w:rsidP="00B20E50">
            <w:pPr>
              <w:suppressAutoHyphens/>
              <w:autoSpaceDE w:val="0"/>
              <w:autoSpaceDN w:val="0"/>
              <w:adjustRightInd w:val="0"/>
              <w:spacing w:after="0" w:line="240" w:lineRule="auto"/>
              <w:ind w:right="181"/>
              <w:jc w:val="center"/>
              <w:textAlignment w:val="center"/>
              <w:rPr>
                <w:rFonts w:cstheme="minorHAnsi"/>
                <w:lang w:val="fr-FR"/>
              </w:rPr>
            </w:pPr>
            <w:r w:rsidRPr="00B955A0">
              <w:rPr>
                <w:rFonts w:cstheme="minorHAnsi"/>
                <w:lang w:val="de"/>
              </w:rPr>
              <w:t>878,4</w:t>
            </w:r>
          </w:p>
        </w:tc>
        <w:tc>
          <w:tcPr>
            <w:tcW w:w="1275" w:type="dxa"/>
            <w:vAlign w:val="center"/>
          </w:tcPr>
          <w:p w14:paraId="00584B34" w14:textId="77777777" w:rsidR="00DD3B76" w:rsidRPr="00B955A0" w:rsidRDefault="00DD3B76" w:rsidP="00B20E50">
            <w:pPr>
              <w:suppressAutoHyphens/>
              <w:autoSpaceDE w:val="0"/>
              <w:autoSpaceDN w:val="0"/>
              <w:adjustRightInd w:val="0"/>
              <w:spacing w:after="0" w:line="240" w:lineRule="auto"/>
              <w:ind w:right="181"/>
              <w:jc w:val="center"/>
              <w:textAlignment w:val="center"/>
              <w:rPr>
                <w:rFonts w:cstheme="minorHAnsi"/>
                <w:lang w:val="fr-FR"/>
              </w:rPr>
            </w:pPr>
            <w:r w:rsidRPr="00B955A0">
              <w:rPr>
                <w:rFonts w:cstheme="minorHAnsi"/>
                <w:lang w:val="de"/>
              </w:rPr>
              <w:t>-5,5 %</w:t>
            </w:r>
          </w:p>
        </w:tc>
        <w:tc>
          <w:tcPr>
            <w:tcW w:w="1276" w:type="dxa"/>
            <w:vAlign w:val="center"/>
          </w:tcPr>
          <w:p w14:paraId="5649B978" w14:textId="77777777" w:rsidR="00DD3B76" w:rsidRPr="00B955A0" w:rsidRDefault="00DD3B76" w:rsidP="00B20E50">
            <w:pPr>
              <w:suppressAutoHyphens/>
              <w:autoSpaceDE w:val="0"/>
              <w:autoSpaceDN w:val="0"/>
              <w:adjustRightInd w:val="0"/>
              <w:spacing w:after="0" w:line="240" w:lineRule="auto"/>
              <w:ind w:right="181"/>
              <w:jc w:val="center"/>
              <w:textAlignment w:val="center"/>
              <w:rPr>
                <w:rFonts w:cstheme="minorHAnsi"/>
                <w:lang w:val="fr-FR"/>
              </w:rPr>
            </w:pPr>
            <w:r w:rsidRPr="00B955A0">
              <w:rPr>
                <w:rFonts w:cstheme="minorHAnsi"/>
                <w:lang w:val="de"/>
              </w:rPr>
              <w:t>-11,0 %</w:t>
            </w:r>
          </w:p>
        </w:tc>
        <w:tc>
          <w:tcPr>
            <w:tcW w:w="1134" w:type="dxa"/>
            <w:vAlign w:val="center"/>
          </w:tcPr>
          <w:p w14:paraId="655D178B" w14:textId="77777777" w:rsidR="00DD3B76" w:rsidRPr="00B955A0" w:rsidRDefault="00DD3B76" w:rsidP="00B20E50">
            <w:pPr>
              <w:suppressAutoHyphens/>
              <w:autoSpaceDE w:val="0"/>
              <w:autoSpaceDN w:val="0"/>
              <w:adjustRightInd w:val="0"/>
              <w:spacing w:after="0" w:line="240" w:lineRule="auto"/>
              <w:ind w:right="181"/>
              <w:jc w:val="center"/>
              <w:textAlignment w:val="center"/>
              <w:rPr>
                <w:rFonts w:cstheme="minorHAnsi"/>
                <w:lang w:val="fr-FR"/>
              </w:rPr>
            </w:pPr>
            <w:r>
              <w:rPr>
                <w:rFonts w:cstheme="minorHAnsi"/>
                <w:lang w:val="de"/>
              </w:rPr>
              <w:t>440,0</w:t>
            </w:r>
          </w:p>
        </w:tc>
        <w:tc>
          <w:tcPr>
            <w:tcW w:w="1134" w:type="dxa"/>
            <w:vAlign w:val="center"/>
          </w:tcPr>
          <w:p w14:paraId="3F5D2DC0" w14:textId="77777777" w:rsidR="00DD3B76" w:rsidRPr="00B955A0" w:rsidRDefault="00DD3B76" w:rsidP="00B20E50">
            <w:pPr>
              <w:suppressAutoHyphens/>
              <w:autoSpaceDE w:val="0"/>
              <w:autoSpaceDN w:val="0"/>
              <w:adjustRightInd w:val="0"/>
              <w:spacing w:after="0" w:line="240" w:lineRule="auto"/>
              <w:ind w:right="181"/>
              <w:jc w:val="center"/>
              <w:textAlignment w:val="center"/>
              <w:rPr>
                <w:rFonts w:cstheme="minorHAnsi"/>
                <w:lang w:val="fr-FR"/>
              </w:rPr>
            </w:pPr>
            <w:r>
              <w:rPr>
                <w:rFonts w:cstheme="minorHAnsi"/>
                <w:lang w:val="de"/>
              </w:rPr>
              <w:t>-4,5 %</w:t>
            </w:r>
          </w:p>
        </w:tc>
        <w:tc>
          <w:tcPr>
            <w:tcW w:w="1134" w:type="dxa"/>
            <w:vAlign w:val="center"/>
          </w:tcPr>
          <w:p w14:paraId="74B0FB0F" w14:textId="77777777" w:rsidR="00DD3B76" w:rsidRPr="00B955A0" w:rsidRDefault="00DD3B76" w:rsidP="00B20E50">
            <w:pPr>
              <w:suppressAutoHyphens/>
              <w:autoSpaceDE w:val="0"/>
              <w:autoSpaceDN w:val="0"/>
              <w:adjustRightInd w:val="0"/>
              <w:spacing w:after="0" w:line="240" w:lineRule="auto"/>
              <w:ind w:right="181"/>
              <w:jc w:val="center"/>
              <w:textAlignment w:val="center"/>
              <w:rPr>
                <w:lang w:val="fr-FR"/>
              </w:rPr>
            </w:pPr>
            <w:r w:rsidRPr="1C83DAF5">
              <w:rPr>
                <w:lang w:val="de"/>
              </w:rPr>
              <w:t>-6,9 %</w:t>
            </w:r>
          </w:p>
        </w:tc>
      </w:tr>
      <w:tr w:rsidR="00DD3B76" w14:paraId="68B5DF50" w14:textId="77777777" w:rsidTr="00B20E50">
        <w:tc>
          <w:tcPr>
            <w:tcW w:w="3829" w:type="dxa"/>
            <w:tcMar>
              <w:top w:w="113" w:type="dxa"/>
              <w:left w:w="91" w:type="dxa"/>
              <w:bottom w:w="113" w:type="dxa"/>
              <w:right w:w="91" w:type="dxa"/>
            </w:tcMar>
            <w:vAlign w:val="center"/>
          </w:tcPr>
          <w:p w14:paraId="3F0BDCE6" w14:textId="77777777" w:rsidR="00DD3B76" w:rsidRPr="00B955A0" w:rsidRDefault="00DD3B76" w:rsidP="00B20E50">
            <w:pPr>
              <w:suppressAutoHyphens/>
              <w:autoSpaceDE w:val="0"/>
              <w:autoSpaceDN w:val="0"/>
              <w:adjustRightInd w:val="0"/>
              <w:spacing w:after="0" w:line="240" w:lineRule="auto"/>
              <w:textAlignment w:val="center"/>
              <w:rPr>
                <w:rFonts w:cstheme="minorHAnsi"/>
                <w:lang w:val="nl-NL"/>
              </w:rPr>
            </w:pPr>
            <w:r w:rsidRPr="00B955A0">
              <w:rPr>
                <w:rFonts w:cstheme="minorHAnsi"/>
                <w:spacing w:val="-2"/>
                <w:lang w:val="de"/>
              </w:rPr>
              <w:t xml:space="preserve">Büro- und Ladenmöbel </w:t>
            </w:r>
          </w:p>
        </w:tc>
        <w:tc>
          <w:tcPr>
            <w:tcW w:w="1133" w:type="dxa"/>
            <w:vAlign w:val="center"/>
          </w:tcPr>
          <w:p w14:paraId="4526451D" w14:textId="77777777" w:rsidR="00DD3B76" w:rsidRPr="00B955A0" w:rsidRDefault="00DD3B76" w:rsidP="00B20E50">
            <w:pPr>
              <w:suppressAutoHyphens/>
              <w:autoSpaceDE w:val="0"/>
              <w:autoSpaceDN w:val="0"/>
              <w:adjustRightInd w:val="0"/>
              <w:spacing w:after="0" w:line="240" w:lineRule="auto"/>
              <w:ind w:right="181"/>
              <w:jc w:val="center"/>
              <w:textAlignment w:val="center"/>
              <w:rPr>
                <w:rFonts w:cstheme="minorHAnsi"/>
                <w:lang w:val="fr-FR"/>
              </w:rPr>
            </w:pPr>
            <w:r w:rsidRPr="00B955A0">
              <w:rPr>
                <w:rFonts w:cstheme="minorHAnsi"/>
                <w:lang w:val="de"/>
              </w:rPr>
              <w:t>489,4</w:t>
            </w:r>
          </w:p>
        </w:tc>
        <w:tc>
          <w:tcPr>
            <w:tcW w:w="1275" w:type="dxa"/>
            <w:vAlign w:val="center"/>
          </w:tcPr>
          <w:p w14:paraId="6836300A" w14:textId="77777777" w:rsidR="00DD3B76" w:rsidRPr="00B955A0" w:rsidRDefault="00DD3B76" w:rsidP="00B20E50">
            <w:pPr>
              <w:suppressAutoHyphens/>
              <w:autoSpaceDE w:val="0"/>
              <w:autoSpaceDN w:val="0"/>
              <w:adjustRightInd w:val="0"/>
              <w:spacing w:after="0" w:line="240" w:lineRule="auto"/>
              <w:ind w:right="181"/>
              <w:jc w:val="center"/>
              <w:textAlignment w:val="center"/>
              <w:rPr>
                <w:rFonts w:cstheme="minorHAnsi"/>
                <w:lang w:val="fr-FR"/>
              </w:rPr>
            </w:pPr>
            <w:r w:rsidRPr="00B955A0">
              <w:rPr>
                <w:rFonts w:cstheme="minorHAnsi"/>
                <w:lang w:val="de"/>
              </w:rPr>
              <w:t>-14,6 %</w:t>
            </w:r>
          </w:p>
        </w:tc>
        <w:tc>
          <w:tcPr>
            <w:tcW w:w="1276" w:type="dxa"/>
            <w:vAlign w:val="center"/>
          </w:tcPr>
          <w:p w14:paraId="01DDECEB" w14:textId="77777777" w:rsidR="00DD3B76" w:rsidRPr="00B955A0" w:rsidRDefault="00DD3B76" w:rsidP="00B20E50">
            <w:pPr>
              <w:suppressAutoHyphens/>
              <w:autoSpaceDE w:val="0"/>
              <w:autoSpaceDN w:val="0"/>
              <w:adjustRightInd w:val="0"/>
              <w:spacing w:after="0" w:line="240" w:lineRule="auto"/>
              <w:ind w:right="181"/>
              <w:jc w:val="center"/>
              <w:textAlignment w:val="center"/>
              <w:rPr>
                <w:rFonts w:cstheme="minorHAnsi"/>
                <w:lang w:val="fr-FR"/>
              </w:rPr>
            </w:pPr>
            <w:r w:rsidRPr="00B955A0">
              <w:rPr>
                <w:rFonts w:cstheme="minorHAnsi"/>
                <w:lang w:val="de"/>
              </w:rPr>
              <w:t>-15,8 %</w:t>
            </w:r>
          </w:p>
        </w:tc>
        <w:tc>
          <w:tcPr>
            <w:tcW w:w="1134" w:type="dxa"/>
            <w:vAlign w:val="center"/>
          </w:tcPr>
          <w:p w14:paraId="39D69B75" w14:textId="77777777" w:rsidR="00DD3B76" w:rsidRPr="00B955A0" w:rsidRDefault="00DD3B76" w:rsidP="00B20E50">
            <w:pPr>
              <w:suppressAutoHyphens/>
              <w:autoSpaceDE w:val="0"/>
              <w:autoSpaceDN w:val="0"/>
              <w:adjustRightInd w:val="0"/>
              <w:spacing w:after="0" w:line="240" w:lineRule="auto"/>
              <w:ind w:right="181"/>
              <w:jc w:val="center"/>
              <w:textAlignment w:val="center"/>
              <w:rPr>
                <w:rFonts w:cstheme="minorHAnsi"/>
                <w:lang w:val="fr-FR"/>
              </w:rPr>
            </w:pPr>
            <w:r>
              <w:rPr>
                <w:rFonts w:cstheme="minorHAnsi"/>
                <w:lang w:val="de"/>
              </w:rPr>
              <w:t>230,4</w:t>
            </w:r>
          </w:p>
        </w:tc>
        <w:tc>
          <w:tcPr>
            <w:tcW w:w="1134" w:type="dxa"/>
            <w:vAlign w:val="center"/>
          </w:tcPr>
          <w:p w14:paraId="7916B829" w14:textId="77777777" w:rsidR="00DD3B76" w:rsidRPr="00B955A0" w:rsidRDefault="00DD3B76" w:rsidP="00B20E50">
            <w:pPr>
              <w:suppressAutoHyphens/>
              <w:autoSpaceDE w:val="0"/>
              <w:autoSpaceDN w:val="0"/>
              <w:adjustRightInd w:val="0"/>
              <w:spacing w:after="0" w:line="240" w:lineRule="auto"/>
              <w:ind w:right="181"/>
              <w:jc w:val="center"/>
              <w:textAlignment w:val="center"/>
              <w:rPr>
                <w:rFonts w:cstheme="minorHAnsi"/>
                <w:lang w:val="fr-FR"/>
              </w:rPr>
            </w:pPr>
            <w:r>
              <w:rPr>
                <w:rFonts w:cstheme="minorHAnsi"/>
                <w:lang w:val="de"/>
              </w:rPr>
              <w:t>-11,1 %</w:t>
            </w:r>
          </w:p>
        </w:tc>
        <w:tc>
          <w:tcPr>
            <w:tcW w:w="1134" w:type="dxa"/>
            <w:vAlign w:val="center"/>
          </w:tcPr>
          <w:p w14:paraId="77A3F9DF" w14:textId="77777777" w:rsidR="00DD3B76" w:rsidRPr="00B955A0" w:rsidRDefault="00DD3B76" w:rsidP="00B20E50">
            <w:pPr>
              <w:suppressAutoHyphens/>
              <w:autoSpaceDE w:val="0"/>
              <w:autoSpaceDN w:val="0"/>
              <w:adjustRightInd w:val="0"/>
              <w:spacing w:after="0" w:line="240" w:lineRule="auto"/>
              <w:ind w:right="181"/>
              <w:jc w:val="center"/>
              <w:textAlignment w:val="center"/>
              <w:rPr>
                <w:lang w:val="fr-FR"/>
              </w:rPr>
            </w:pPr>
            <w:r w:rsidRPr="1C83DAF5">
              <w:rPr>
                <w:lang w:val="de"/>
              </w:rPr>
              <w:t>-2,7 %</w:t>
            </w:r>
          </w:p>
        </w:tc>
      </w:tr>
      <w:tr w:rsidR="00DD3B76" w14:paraId="006F1671" w14:textId="77777777" w:rsidTr="00B20E50">
        <w:tc>
          <w:tcPr>
            <w:tcW w:w="3829" w:type="dxa"/>
            <w:tcMar>
              <w:top w:w="113" w:type="dxa"/>
              <w:left w:w="91" w:type="dxa"/>
              <w:bottom w:w="113" w:type="dxa"/>
              <w:right w:w="91" w:type="dxa"/>
            </w:tcMar>
            <w:vAlign w:val="center"/>
          </w:tcPr>
          <w:p w14:paraId="2444F148" w14:textId="77777777" w:rsidR="00DD3B76" w:rsidRPr="00B955A0" w:rsidRDefault="00DD3B76" w:rsidP="00B20E50">
            <w:pPr>
              <w:suppressAutoHyphens/>
              <w:autoSpaceDE w:val="0"/>
              <w:autoSpaceDN w:val="0"/>
              <w:adjustRightInd w:val="0"/>
              <w:spacing w:after="0" w:line="240" w:lineRule="auto"/>
              <w:textAlignment w:val="center"/>
              <w:rPr>
                <w:rFonts w:cstheme="minorHAnsi"/>
                <w:lang w:val="nl-NL"/>
              </w:rPr>
            </w:pPr>
            <w:r w:rsidRPr="00B955A0">
              <w:rPr>
                <w:rFonts w:cstheme="minorHAnsi"/>
                <w:lang w:val="de"/>
              </w:rPr>
              <w:t xml:space="preserve">Küchenmöbel </w:t>
            </w:r>
          </w:p>
        </w:tc>
        <w:tc>
          <w:tcPr>
            <w:tcW w:w="1133" w:type="dxa"/>
            <w:vAlign w:val="center"/>
          </w:tcPr>
          <w:p w14:paraId="03E91C3E" w14:textId="77777777" w:rsidR="00DD3B76" w:rsidRPr="00B955A0" w:rsidRDefault="00DD3B76" w:rsidP="00B20E50">
            <w:pPr>
              <w:suppressAutoHyphens/>
              <w:autoSpaceDE w:val="0"/>
              <w:autoSpaceDN w:val="0"/>
              <w:adjustRightInd w:val="0"/>
              <w:spacing w:after="0" w:line="240" w:lineRule="auto"/>
              <w:ind w:right="181"/>
              <w:jc w:val="center"/>
              <w:textAlignment w:val="center"/>
              <w:rPr>
                <w:rFonts w:cstheme="minorHAnsi"/>
                <w:lang w:val="fr-FR"/>
              </w:rPr>
            </w:pPr>
            <w:r w:rsidRPr="00B955A0">
              <w:rPr>
                <w:rFonts w:cstheme="minorHAnsi"/>
                <w:lang w:val="de"/>
              </w:rPr>
              <w:t>517,5</w:t>
            </w:r>
          </w:p>
        </w:tc>
        <w:tc>
          <w:tcPr>
            <w:tcW w:w="1275" w:type="dxa"/>
            <w:vAlign w:val="center"/>
          </w:tcPr>
          <w:p w14:paraId="20ED3C22" w14:textId="77777777" w:rsidR="00DD3B76" w:rsidRPr="00B955A0" w:rsidRDefault="00DD3B76" w:rsidP="00B20E50">
            <w:pPr>
              <w:suppressAutoHyphens/>
              <w:autoSpaceDE w:val="0"/>
              <w:autoSpaceDN w:val="0"/>
              <w:adjustRightInd w:val="0"/>
              <w:spacing w:after="0" w:line="240" w:lineRule="auto"/>
              <w:ind w:right="181"/>
              <w:jc w:val="center"/>
              <w:textAlignment w:val="center"/>
              <w:rPr>
                <w:rFonts w:cstheme="minorHAnsi"/>
                <w:lang w:val="fr-FR"/>
              </w:rPr>
            </w:pPr>
            <w:r w:rsidRPr="00B955A0">
              <w:rPr>
                <w:rFonts w:cstheme="minorHAnsi"/>
                <w:lang w:val="de"/>
              </w:rPr>
              <w:t>+0,8 %</w:t>
            </w:r>
          </w:p>
        </w:tc>
        <w:tc>
          <w:tcPr>
            <w:tcW w:w="1276" w:type="dxa"/>
            <w:vAlign w:val="center"/>
          </w:tcPr>
          <w:p w14:paraId="4828B460" w14:textId="77777777" w:rsidR="00DD3B76" w:rsidRPr="00B955A0" w:rsidRDefault="00DD3B76" w:rsidP="00B20E50">
            <w:pPr>
              <w:suppressAutoHyphens/>
              <w:autoSpaceDE w:val="0"/>
              <w:autoSpaceDN w:val="0"/>
              <w:adjustRightInd w:val="0"/>
              <w:spacing w:after="0" w:line="240" w:lineRule="auto"/>
              <w:ind w:right="181"/>
              <w:jc w:val="center"/>
              <w:textAlignment w:val="center"/>
              <w:rPr>
                <w:rFonts w:cstheme="minorHAnsi"/>
                <w:lang w:val="fr-FR"/>
              </w:rPr>
            </w:pPr>
            <w:r w:rsidRPr="00B955A0">
              <w:rPr>
                <w:rFonts w:cstheme="minorHAnsi"/>
                <w:lang w:val="de"/>
              </w:rPr>
              <w:t>-7,8 %</w:t>
            </w:r>
          </w:p>
        </w:tc>
        <w:tc>
          <w:tcPr>
            <w:tcW w:w="1134" w:type="dxa"/>
            <w:vAlign w:val="center"/>
          </w:tcPr>
          <w:p w14:paraId="5C9CA06A" w14:textId="77777777" w:rsidR="00DD3B76" w:rsidRPr="00B955A0" w:rsidRDefault="00DD3B76" w:rsidP="00B20E50">
            <w:pPr>
              <w:suppressAutoHyphens/>
              <w:autoSpaceDE w:val="0"/>
              <w:autoSpaceDN w:val="0"/>
              <w:adjustRightInd w:val="0"/>
              <w:spacing w:after="0" w:line="240" w:lineRule="auto"/>
              <w:ind w:right="181"/>
              <w:jc w:val="center"/>
              <w:textAlignment w:val="center"/>
              <w:rPr>
                <w:rFonts w:cstheme="minorHAnsi"/>
                <w:lang w:val="fr-FR"/>
              </w:rPr>
            </w:pPr>
            <w:r>
              <w:rPr>
                <w:rFonts w:cstheme="minorHAnsi"/>
                <w:lang w:val="de"/>
              </w:rPr>
              <w:t>252,8</w:t>
            </w:r>
          </w:p>
        </w:tc>
        <w:tc>
          <w:tcPr>
            <w:tcW w:w="1134" w:type="dxa"/>
            <w:vAlign w:val="center"/>
          </w:tcPr>
          <w:p w14:paraId="7FC2DEAB" w14:textId="77777777" w:rsidR="00DD3B76" w:rsidRPr="00B955A0" w:rsidRDefault="00DD3B76" w:rsidP="00B20E50">
            <w:pPr>
              <w:suppressAutoHyphens/>
              <w:autoSpaceDE w:val="0"/>
              <w:autoSpaceDN w:val="0"/>
              <w:adjustRightInd w:val="0"/>
              <w:spacing w:after="0" w:line="240" w:lineRule="auto"/>
              <w:ind w:right="181"/>
              <w:jc w:val="center"/>
              <w:textAlignment w:val="center"/>
              <w:rPr>
                <w:rFonts w:cstheme="minorHAnsi"/>
                <w:lang w:val="fr-FR"/>
              </w:rPr>
            </w:pPr>
            <w:r>
              <w:rPr>
                <w:rFonts w:cstheme="minorHAnsi"/>
                <w:lang w:val="de"/>
              </w:rPr>
              <w:t>-8,1 %</w:t>
            </w:r>
          </w:p>
        </w:tc>
        <w:tc>
          <w:tcPr>
            <w:tcW w:w="1134" w:type="dxa"/>
            <w:vAlign w:val="center"/>
          </w:tcPr>
          <w:p w14:paraId="71E52FFE" w14:textId="77777777" w:rsidR="00DD3B76" w:rsidRPr="00B955A0" w:rsidRDefault="00DD3B76" w:rsidP="00B20E50">
            <w:pPr>
              <w:suppressAutoHyphens/>
              <w:autoSpaceDE w:val="0"/>
              <w:autoSpaceDN w:val="0"/>
              <w:adjustRightInd w:val="0"/>
              <w:spacing w:after="0" w:line="240" w:lineRule="auto"/>
              <w:ind w:right="181"/>
              <w:jc w:val="center"/>
              <w:textAlignment w:val="center"/>
              <w:rPr>
                <w:lang w:val="fr-FR"/>
              </w:rPr>
            </w:pPr>
            <w:r w:rsidRPr="1C83DAF5">
              <w:rPr>
                <w:lang w:val="de"/>
              </w:rPr>
              <w:t>-10,3 %</w:t>
            </w:r>
          </w:p>
        </w:tc>
      </w:tr>
      <w:tr w:rsidR="00DD3B76" w14:paraId="16527CF1" w14:textId="77777777" w:rsidTr="00B20E50">
        <w:tc>
          <w:tcPr>
            <w:tcW w:w="3829" w:type="dxa"/>
            <w:tcMar>
              <w:top w:w="113" w:type="dxa"/>
              <w:left w:w="91" w:type="dxa"/>
              <w:bottom w:w="113" w:type="dxa"/>
              <w:right w:w="91" w:type="dxa"/>
            </w:tcMar>
            <w:vAlign w:val="center"/>
          </w:tcPr>
          <w:p w14:paraId="40BCA792" w14:textId="77777777" w:rsidR="00DD3B76" w:rsidRPr="00B955A0" w:rsidRDefault="00DD3B76" w:rsidP="00B20E50">
            <w:pPr>
              <w:suppressAutoHyphens/>
              <w:autoSpaceDE w:val="0"/>
              <w:autoSpaceDN w:val="0"/>
              <w:adjustRightInd w:val="0"/>
              <w:spacing w:after="0" w:line="240" w:lineRule="auto"/>
              <w:textAlignment w:val="center"/>
              <w:rPr>
                <w:rFonts w:cstheme="minorHAnsi"/>
                <w:lang w:val="nl-NL"/>
              </w:rPr>
            </w:pPr>
            <w:r w:rsidRPr="00B955A0">
              <w:rPr>
                <w:rFonts w:cstheme="minorHAnsi"/>
                <w:lang w:val="de"/>
              </w:rPr>
              <w:t>Matratzen und Lattenroste</w:t>
            </w:r>
          </w:p>
        </w:tc>
        <w:tc>
          <w:tcPr>
            <w:tcW w:w="1133" w:type="dxa"/>
            <w:vAlign w:val="center"/>
          </w:tcPr>
          <w:p w14:paraId="20756090" w14:textId="77777777" w:rsidR="00DD3B76" w:rsidRPr="00B955A0" w:rsidRDefault="00DD3B76" w:rsidP="00B20E50">
            <w:pPr>
              <w:suppressAutoHyphens/>
              <w:autoSpaceDE w:val="0"/>
              <w:autoSpaceDN w:val="0"/>
              <w:adjustRightInd w:val="0"/>
              <w:spacing w:after="0" w:line="240" w:lineRule="auto"/>
              <w:ind w:right="181"/>
              <w:jc w:val="center"/>
              <w:textAlignment w:val="center"/>
              <w:rPr>
                <w:rFonts w:cstheme="minorHAnsi"/>
                <w:lang w:val="fr-FR"/>
              </w:rPr>
            </w:pPr>
            <w:r w:rsidRPr="00B955A0">
              <w:rPr>
                <w:rFonts w:cstheme="minorHAnsi"/>
                <w:lang w:val="de"/>
              </w:rPr>
              <w:t>218,7</w:t>
            </w:r>
          </w:p>
        </w:tc>
        <w:tc>
          <w:tcPr>
            <w:tcW w:w="1275" w:type="dxa"/>
            <w:vAlign w:val="center"/>
          </w:tcPr>
          <w:p w14:paraId="52062F0E" w14:textId="77777777" w:rsidR="00DD3B76" w:rsidRPr="00B955A0" w:rsidRDefault="00DD3B76" w:rsidP="00B20E50">
            <w:pPr>
              <w:suppressAutoHyphens/>
              <w:autoSpaceDE w:val="0"/>
              <w:autoSpaceDN w:val="0"/>
              <w:adjustRightInd w:val="0"/>
              <w:spacing w:after="0" w:line="240" w:lineRule="auto"/>
              <w:ind w:right="181"/>
              <w:jc w:val="center"/>
              <w:textAlignment w:val="center"/>
              <w:rPr>
                <w:rFonts w:cstheme="minorHAnsi"/>
                <w:lang w:val="fr-FR"/>
              </w:rPr>
            </w:pPr>
            <w:r w:rsidRPr="00B955A0">
              <w:rPr>
                <w:rFonts w:cstheme="minorHAnsi"/>
                <w:lang w:val="de"/>
              </w:rPr>
              <w:t>-11,7 %</w:t>
            </w:r>
          </w:p>
        </w:tc>
        <w:tc>
          <w:tcPr>
            <w:tcW w:w="1276" w:type="dxa"/>
            <w:vAlign w:val="center"/>
          </w:tcPr>
          <w:p w14:paraId="52481582" w14:textId="77777777" w:rsidR="00DD3B76" w:rsidRPr="00B955A0" w:rsidRDefault="00DD3B76" w:rsidP="00B20E50">
            <w:pPr>
              <w:suppressAutoHyphens/>
              <w:autoSpaceDE w:val="0"/>
              <w:autoSpaceDN w:val="0"/>
              <w:adjustRightInd w:val="0"/>
              <w:spacing w:after="0" w:line="240" w:lineRule="auto"/>
              <w:ind w:right="181"/>
              <w:jc w:val="center"/>
              <w:textAlignment w:val="center"/>
              <w:rPr>
                <w:rFonts w:cstheme="minorHAnsi"/>
                <w:lang w:val="fr-FR"/>
              </w:rPr>
            </w:pPr>
            <w:r w:rsidRPr="00B955A0">
              <w:rPr>
                <w:rFonts w:cstheme="minorHAnsi"/>
                <w:lang w:val="de"/>
              </w:rPr>
              <w:t>-13,8 %</w:t>
            </w:r>
          </w:p>
        </w:tc>
        <w:tc>
          <w:tcPr>
            <w:tcW w:w="1134" w:type="dxa"/>
            <w:vAlign w:val="center"/>
          </w:tcPr>
          <w:p w14:paraId="326E0BDF" w14:textId="77777777" w:rsidR="00DD3B76" w:rsidRPr="00B955A0" w:rsidRDefault="00DD3B76" w:rsidP="00B20E50">
            <w:pPr>
              <w:suppressAutoHyphens/>
              <w:autoSpaceDE w:val="0"/>
              <w:autoSpaceDN w:val="0"/>
              <w:adjustRightInd w:val="0"/>
              <w:spacing w:after="0" w:line="240" w:lineRule="auto"/>
              <w:ind w:right="181"/>
              <w:jc w:val="center"/>
              <w:textAlignment w:val="center"/>
              <w:rPr>
                <w:rFonts w:cstheme="minorHAnsi"/>
                <w:lang w:val="fr-FR"/>
              </w:rPr>
            </w:pPr>
            <w:r>
              <w:rPr>
                <w:rFonts w:cstheme="minorHAnsi"/>
                <w:lang w:val="de"/>
              </w:rPr>
              <w:t>99,9</w:t>
            </w:r>
          </w:p>
        </w:tc>
        <w:tc>
          <w:tcPr>
            <w:tcW w:w="1134" w:type="dxa"/>
            <w:vAlign w:val="center"/>
          </w:tcPr>
          <w:p w14:paraId="42CA3637" w14:textId="77777777" w:rsidR="00DD3B76" w:rsidRPr="00B955A0" w:rsidRDefault="00DD3B76" w:rsidP="00B20E50">
            <w:pPr>
              <w:suppressAutoHyphens/>
              <w:autoSpaceDE w:val="0"/>
              <w:autoSpaceDN w:val="0"/>
              <w:adjustRightInd w:val="0"/>
              <w:spacing w:after="0" w:line="240" w:lineRule="auto"/>
              <w:ind w:right="181"/>
              <w:jc w:val="center"/>
              <w:textAlignment w:val="center"/>
              <w:rPr>
                <w:rFonts w:cstheme="minorHAnsi"/>
                <w:lang w:val="fr-FR"/>
              </w:rPr>
            </w:pPr>
            <w:r>
              <w:rPr>
                <w:rFonts w:cstheme="minorHAnsi"/>
                <w:lang w:val="de"/>
              </w:rPr>
              <w:t>-13,0 %</w:t>
            </w:r>
          </w:p>
        </w:tc>
        <w:tc>
          <w:tcPr>
            <w:tcW w:w="1134" w:type="dxa"/>
            <w:vAlign w:val="center"/>
          </w:tcPr>
          <w:p w14:paraId="628EAB67" w14:textId="77777777" w:rsidR="00DD3B76" w:rsidRPr="00B955A0" w:rsidRDefault="00DD3B76" w:rsidP="00B20E50">
            <w:pPr>
              <w:suppressAutoHyphens/>
              <w:autoSpaceDE w:val="0"/>
              <w:autoSpaceDN w:val="0"/>
              <w:adjustRightInd w:val="0"/>
              <w:spacing w:after="0" w:line="240" w:lineRule="auto"/>
              <w:ind w:right="181"/>
              <w:jc w:val="center"/>
              <w:textAlignment w:val="center"/>
              <w:rPr>
                <w:lang w:val="fr-FR"/>
              </w:rPr>
            </w:pPr>
            <w:r w:rsidRPr="1C83DAF5">
              <w:rPr>
                <w:lang w:val="de"/>
              </w:rPr>
              <w:t>-12,5 %</w:t>
            </w:r>
          </w:p>
        </w:tc>
      </w:tr>
      <w:tr w:rsidR="00DD3B76" w14:paraId="4B7DF035" w14:textId="77777777" w:rsidTr="00B20E50">
        <w:trPr>
          <w:trHeight w:val="24"/>
        </w:trPr>
        <w:tc>
          <w:tcPr>
            <w:tcW w:w="3829" w:type="dxa"/>
            <w:tcMar>
              <w:top w:w="91" w:type="dxa"/>
              <w:left w:w="91" w:type="dxa"/>
              <w:bottom w:w="91" w:type="dxa"/>
              <w:right w:w="91" w:type="dxa"/>
            </w:tcMar>
            <w:vAlign w:val="center"/>
          </w:tcPr>
          <w:p w14:paraId="758FD9F4" w14:textId="77777777" w:rsidR="00DD3B76" w:rsidRPr="00B955A0" w:rsidRDefault="00DD3B76" w:rsidP="00B20E50">
            <w:pPr>
              <w:suppressAutoHyphens/>
              <w:autoSpaceDE w:val="0"/>
              <w:autoSpaceDN w:val="0"/>
              <w:adjustRightInd w:val="0"/>
              <w:spacing w:after="0" w:line="240" w:lineRule="auto"/>
              <w:textAlignment w:val="center"/>
              <w:rPr>
                <w:rFonts w:cstheme="minorHAnsi"/>
                <w:lang w:val="nl-NL"/>
              </w:rPr>
            </w:pPr>
            <w:r w:rsidRPr="00B955A0">
              <w:rPr>
                <w:rFonts w:cstheme="minorHAnsi"/>
                <w:b/>
                <w:bCs/>
                <w:lang w:val="de"/>
              </w:rPr>
              <w:t>Möbelindustrie **</w:t>
            </w:r>
          </w:p>
        </w:tc>
        <w:tc>
          <w:tcPr>
            <w:tcW w:w="1133" w:type="dxa"/>
            <w:vAlign w:val="center"/>
          </w:tcPr>
          <w:p w14:paraId="2AA94C85" w14:textId="77777777" w:rsidR="00DD3B76" w:rsidRPr="00B955A0" w:rsidRDefault="00DD3B76" w:rsidP="00B20E50">
            <w:pPr>
              <w:suppressAutoHyphens/>
              <w:autoSpaceDE w:val="0"/>
              <w:autoSpaceDN w:val="0"/>
              <w:adjustRightInd w:val="0"/>
              <w:spacing w:after="0" w:line="240" w:lineRule="auto"/>
              <w:ind w:right="181"/>
              <w:jc w:val="center"/>
              <w:textAlignment w:val="center"/>
              <w:rPr>
                <w:rFonts w:cstheme="minorHAnsi"/>
                <w:lang w:val="fr-FR"/>
              </w:rPr>
            </w:pPr>
            <w:r w:rsidRPr="00B955A0">
              <w:rPr>
                <w:rFonts w:cstheme="minorHAnsi"/>
                <w:b/>
                <w:bCs/>
                <w:lang w:val="de"/>
              </w:rPr>
              <w:t>2.104,0</w:t>
            </w:r>
          </w:p>
        </w:tc>
        <w:tc>
          <w:tcPr>
            <w:tcW w:w="1275" w:type="dxa"/>
            <w:vAlign w:val="center"/>
          </w:tcPr>
          <w:p w14:paraId="3BE94CEE" w14:textId="77777777" w:rsidR="00DD3B76" w:rsidRPr="00B955A0" w:rsidRDefault="00DD3B76" w:rsidP="00B20E50">
            <w:pPr>
              <w:suppressAutoHyphens/>
              <w:autoSpaceDE w:val="0"/>
              <w:autoSpaceDN w:val="0"/>
              <w:adjustRightInd w:val="0"/>
              <w:spacing w:after="0" w:line="240" w:lineRule="auto"/>
              <w:ind w:right="181"/>
              <w:jc w:val="center"/>
              <w:textAlignment w:val="center"/>
              <w:rPr>
                <w:rFonts w:cstheme="minorHAnsi"/>
                <w:lang w:val="fr-FR"/>
              </w:rPr>
            </w:pPr>
            <w:r w:rsidRPr="00B955A0">
              <w:rPr>
                <w:rFonts w:cstheme="minorHAnsi"/>
                <w:b/>
                <w:bCs/>
                <w:lang w:val="de"/>
              </w:rPr>
              <w:t>-7,0 %</w:t>
            </w:r>
          </w:p>
        </w:tc>
        <w:tc>
          <w:tcPr>
            <w:tcW w:w="1276" w:type="dxa"/>
            <w:vAlign w:val="center"/>
          </w:tcPr>
          <w:p w14:paraId="00390C4C" w14:textId="77777777" w:rsidR="00DD3B76" w:rsidRPr="00B955A0" w:rsidRDefault="00DD3B76" w:rsidP="00B20E50">
            <w:pPr>
              <w:suppressAutoHyphens/>
              <w:autoSpaceDE w:val="0"/>
              <w:autoSpaceDN w:val="0"/>
              <w:adjustRightInd w:val="0"/>
              <w:spacing w:after="0" w:line="240" w:lineRule="auto"/>
              <w:ind w:right="181"/>
              <w:jc w:val="center"/>
              <w:textAlignment w:val="center"/>
              <w:rPr>
                <w:rFonts w:cstheme="minorHAnsi"/>
                <w:lang w:val="fr-FR"/>
              </w:rPr>
            </w:pPr>
            <w:r w:rsidRPr="00B955A0">
              <w:rPr>
                <w:rFonts w:cstheme="minorHAnsi"/>
                <w:b/>
                <w:bCs/>
                <w:lang w:val="de"/>
              </w:rPr>
              <w:t>-10,9 %</w:t>
            </w:r>
          </w:p>
        </w:tc>
        <w:tc>
          <w:tcPr>
            <w:tcW w:w="1134" w:type="dxa"/>
            <w:vAlign w:val="center"/>
          </w:tcPr>
          <w:p w14:paraId="27997E2D" w14:textId="77777777" w:rsidR="00DD3B76" w:rsidRPr="00B955A0" w:rsidRDefault="00DD3B76" w:rsidP="00B20E50">
            <w:pPr>
              <w:suppressAutoHyphens/>
              <w:autoSpaceDE w:val="0"/>
              <w:autoSpaceDN w:val="0"/>
              <w:adjustRightInd w:val="0"/>
              <w:spacing w:after="0" w:line="240" w:lineRule="auto"/>
              <w:ind w:right="181"/>
              <w:jc w:val="center"/>
              <w:textAlignment w:val="center"/>
              <w:rPr>
                <w:rFonts w:cstheme="minorHAnsi"/>
                <w:b/>
                <w:bCs/>
                <w:lang w:val="fr-FR"/>
              </w:rPr>
            </w:pPr>
            <w:r>
              <w:rPr>
                <w:rFonts w:cstheme="minorHAnsi"/>
                <w:b/>
                <w:bCs/>
                <w:lang w:val="de"/>
              </w:rPr>
              <w:t>1.023,1</w:t>
            </w:r>
          </w:p>
        </w:tc>
        <w:tc>
          <w:tcPr>
            <w:tcW w:w="1134" w:type="dxa"/>
            <w:vAlign w:val="center"/>
          </w:tcPr>
          <w:p w14:paraId="468A5186" w14:textId="77777777" w:rsidR="00DD3B76" w:rsidRPr="00B955A0" w:rsidRDefault="00DD3B76" w:rsidP="00B20E50">
            <w:pPr>
              <w:suppressAutoHyphens/>
              <w:autoSpaceDE w:val="0"/>
              <w:autoSpaceDN w:val="0"/>
              <w:adjustRightInd w:val="0"/>
              <w:spacing w:after="0" w:line="240" w:lineRule="auto"/>
              <w:ind w:right="181"/>
              <w:jc w:val="center"/>
              <w:textAlignment w:val="center"/>
              <w:rPr>
                <w:rFonts w:cstheme="minorHAnsi"/>
                <w:b/>
                <w:bCs/>
                <w:lang w:val="fr-FR"/>
              </w:rPr>
            </w:pPr>
            <w:r>
              <w:rPr>
                <w:rFonts w:cstheme="minorHAnsi"/>
                <w:b/>
                <w:bCs/>
                <w:lang w:val="de"/>
              </w:rPr>
              <w:t>-7,8 %</w:t>
            </w:r>
          </w:p>
        </w:tc>
        <w:tc>
          <w:tcPr>
            <w:tcW w:w="1134" w:type="dxa"/>
            <w:vAlign w:val="center"/>
          </w:tcPr>
          <w:p w14:paraId="43666D5A" w14:textId="77777777" w:rsidR="00DD3B76" w:rsidRPr="00B955A0" w:rsidRDefault="00DD3B76" w:rsidP="00B20E50">
            <w:pPr>
              <w:suppressAutoHyphens/>
              <w:autoSpaceDE w:val="0"/>
              <w:autoSpaceDN w:val="0"/>
              <w:adjustRightInd w:val="0"/>
              <w:spacing w:after="0" w:line="240" w:lineRule="auto"/>
              <w:ind w:right="181"/>
              <w:jc w:val="center"/>
              <w:textAlignment w:val="center"/>
              <w:rPr>
                <w:b/>
                <w:bCs/>
                <w:lang w:val="fr-FR"/>
              </w:rPr>
            </w:pPr>
            <w:r w:rsidRPr="1C83DAF5">
              <w:rPr>
                <w:b/>
                <w:bCs/>
                <w:lang w:val="de"/>
              </w:rPr>
              <w:t>-7,1 %</w:t>
            </w:r>
          </w:p>
        </w:tc>
      </w:tr>
    </w:tbl>
    <w:p w14:paraId="39750B47" w14:textId="77777777" w:rsidR="00DD3B76" w:rsidRPr="00AA5743" w:rsidRDefault="00DD3B76" w:rsidP="00DD3B76">
      <w:pPr>
        <w:tabs>
          <w:tab w:val="right" w:pos="6700"/>
        </w:tabs>
        <w:suppressAutoHyphens/>
        <w:autoSpaceDE w:val="0"/>
        <w:autoSpaceDN w:val="0"/>
        <w:adjustRightInd w:val="0"/>
        <w:spacing w:before="120" w:after="120" w:line="240" w:lineRule="auto"/>
        <w:ind w:left="420" w:hanging="280"/>
        <w:contextualSpacing/>
        <w:textAlignment w:val="center"/>
        <w:rPr>
          <w:rFonts w:cstheme="minorHAnsi"/>
          <w:i/>
          <w:iCs/>
          <w:color w:val="000000"/>
          <w:sz w:val="14"/>
          <w:szCs w:val="14"/>
          <w:lang w:val="de-DE"/>
        </w:rPr>
      </w:pPr>
      <w:r w:rsidRPr="00A93CEA">
        <w:rPr>
          <w:rFonts w:cstheme="minorHAnsi"/>
          <w:i/>
          <w:iCs/>
          <w:color w:val="000000"/>
          <w:sz w:val="14"/>
          <w:szCs w:val="14"/>
          <w:lang w:val="de"/>
        </w:rPr>
        <w:t>*</w:t>
      </w:r>
      <w:r w:rsidRPr="00A93CEA">
        <w:rPr>
          <w:rFonts w:cstheme="minorHAnsi"/>
          <w:i/>
          <w:iCs/>
          <w:color w:val="000000"/>
          <w:sz w:val="14"/>
          <w:szCs w:val="14"/>
          <w:lang w:val="de"/>
        </w:rPr>
        <w:tab/>
        <w:t xml:space="preserve">Vorläufige Daten </w:t>
      </w:r>
      <w:r w:rsidRPr="00A93CEA">
        <w:rPr>
          <w:rFonts w:cstheme="minorHAnsi"/>
          <w:i/>
          <w:iCs/>
          <w:color w:val="000000"/>
          <w:sz w:val="14"/>
          <w:szCs w:val="14"/>
          <w:lang w:val="de"/>
        </w:rPr>
        <w:tab/>
        <w:t>Quelle: FÖD Wirtschaft, Mehrwertsteuererklärungen</w:t>
      </w:r>
    </w:p>
    <w:p w14:paraId="5A3E7D74" w14:textId="77777777" w:rsidR="00DD3B76" w:rsidRPr="00A93CEA" w:rsidRDefault="00DD3B76" w:rsidP="00DD3B76">
      <w:pPr>
        <w:tabs>
          <w:tab w:val="right" w:pos="9520"/>
        </w:tabs>
        <w:suppressAutoHyphens/>
        <w:autoSpaceDE w:val="0"/>
        <w:autoSpaceDN w:val="0"/>
        <w:adjustRightInd w:val="0"/>
        <w:spacing w:before="120" w:after="120" w:line="240" w:lineRule="auto"/>
        <w:ind w:left="420" w:hanging="280"/>
        <w:contextualSpacing/>
        <w:textAlignment w:val="center"/>
        <w:rPr>
          <w:i/>
          <w:iCs/>
          <w:color w:val="000000"/>
          <w:sz w:val="14"/>
          <w:szCs w:val="14"/>
          <w:lang w:val="nl-NL"/>
        </w:rPr>
      </w:pPr>
      <w:r w:rsidRPr="1C83DAF5">
        <w:rPr>
          <w:i/>
          <w:iCs/>
          <w:color w:val="000000" w:themeColor="text1"/>
          <w:sz w:val="14"/>
          <w:szCs w:val="14"/>
          <w:lang w:val="de"/>
        </w:rPr>
        <w:t>**Möbelindustrie NACE 31</w:t>
      </w:r>
    </w:p>
    <w:p w14:paraId="31E0B4EE" w14:textId="77777777" w:rsidR="00DD3B76" w:rsidRDefault="00DD3B76" w:rsidP="00DD3B76">
      <w:pPr>
        <w:suppressAutoHyphens/>
        <w:autoSpaceDE w:val="0"/>
        <w:autoSpaceDN w:val="0"/>
        <w:adjustRightInd w:val="0"/>
        <w:spacing w:before="120" w:after="120" w:line="240" w:lineRule="auto"/>
        <w:contextualSpacing/>
        <w:jc w:val="both"/>
        <w:textAlignment w:val="center"/>
        <w:rPr>
          <w:rFonts w:cstheme="minorHAnsi"/>
          <w:b/>
          <w:bCs/>
          <w:color w:val="000000"/>
          <w:lang w:val="de"/>
        </w:rPr>
      </w:pPr>
      <w:r>
        <w:rPr>
          <w:noProof/>
        </w:rPr>
        <w:lastRenderedPageBreak/>
        <w:drawing>
          <wp:inline distT="0" distB="0" distL="0" distR="0" wp14:anchorId="639B51A4" wp14:editId="09D7DFB7">
            <wp:extent cx="5760720" cy="3272155"/>
            <wp:effectExtent l="0" t="0" r="11430" b="4445"/>
            <wp:docPr id="239830124" name="Grafiek 1">
              <a:extLst xmlns:a="http://schemas.openxmlformats.org/drawingml/2006/main">
                <a:ext uri="{FF2B5EF4-FFF2-40B4-BE49-F238E27FC236}">
                  <a16:creationId xmlns:a16="http://schemas.microsoft.com/office/drawing/2014/main" id="{89D49C13-F510-F4E3-C800-9921C9F5CD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845D34C" w14:textId="77777777" w:rsidR="00DD3B76" w:rsidRDefault="00DD3B76" w:rsidP="00DD3B76">
      <w:pPr>
        <w:suppressAutoHyphens/>
        <w:autoSpaceDE w:val="0"/>
        <w:autoSpaceDN w:val="0"/>
        <w:adjustRightInd w:val="0"/>
        <w:spacing w:before="120" w:after="120" w:line="240" w:lineRule="auto"/>
        <w:contextualSpacing/>
        <w:jc w:val="both"/>
        <w:textAlignment w:val="center"/>
        <w:rPr>
          <w:rFonts w:cstheme="minorHAnsi"/>
          <w:b/>
          <w:bCs/>
          <w:color w:val="000000"/>
          <w:lang w:val="de"/>
        </w:rPr>
      </w:pPr>
    </w:p>
    <w:p w14:paraId="413D2EF4" w14:textId="1489DF3D" w:rsidR="00DD3B76" w:rsidRPr="00AA5743" w:rsidRDefault="00DD3B76" w:rsidP="00DD3B76">
      <w:pPr>
        <w:suppressAutoHyphens/>
        <w:autoSpaceDE w:val="0"/>
        <w:autoSpaceDN w:val="0"/>
        <w:adjustRightInd w:val="0"/>
        <w:spacing w:before="120" w:after="120" w:line="240" w:lineRule="auto"/>
        <w:contextualSpacing/>
        <w:jc w:val="both"/>
        <w:textAlignment w:val="center"/>
        <w:rPr>
          <w:rFonts w:cstheme="minorHAnsi"/>
          <w:b/>
          <w:bCs/>
          <w:color w:val="000000"/>
          <w:lang w:val="de-DE"/>
        </w:rPr>
      </w:pPr>
      <w:r w:rsidRPr="00A93CEA">
        <w:rPr>
          <w:rFonts w:cstheme="minorHAnsi"/>
          <w:b/>
          <w:bCs/>
          <w:color w:val="000000"/>
          <w:lang w:val="de"/>
        </w:rPr>
        <w:t xml:space="preserve">MÖBELEXPORTE UND -IMPORTE SINKEN 2023 - STABILISIERUNG DER EXPORTE IM ERSTEN HALBJAHR 2024 </w:t>
      </w:r>
    </w:p>
    <w:p w14:paraId="633F15C3" w14:textId="77777777" w:rsidR="00DD3B76" w:rsidRPr="00AA5743" w:rsidRDefault="00DD3B76" w:rsidP="00DD3B76">
      <w:pPr>
        <w:suppressAutoHyphens/>
        <w:autoSpaceDE w:val="0"/>
        <w:autoSpaceDN w:val="0"/>
        <w:adjustRightInd w:val="0"/>
        <w:spacing w:before="120" w:after="120" w:line="240" w:lineRule="auto"/>
        <w:contextualSpacing/>
        <w:textAlignment w:val="center"/>
        <w:rPr>
          <w:rFonts w:cstheme="minorHAnsi"/>
          <w:b/>
          <w:bCs/>
          <w:color w:val="000000"/>
          <w:lang w:val="de-DE"/>
        </w:rPr>
      </w:pPr>
    </w:p>
    <w:p w14:paraId="0632D2DA" w14:textId="77777777" w:rsidR="00DD3B76" w:rsidRPr="00AA5743" w:rsidRDefault="00DD3B76" w:rsidP="00DD3B76">
      <w:pPr>
        <w:autoSpaceDE w:val="0"/>
        <w:autoSpaceDN w:val="0"/>
        <w:adjustRightInd w:val="0"/>
        <w:spacing w:after="0" w:line="240" w:lineRule="auto"/>
        <w:jc w:val="both"/>
        <w:textAlignment w:val="center"/>
        <w:rPr>
          <w:lang w:val="de-DE"/>
        </w:rPr>
      </w:pPr>
      <w:r w:rsidRPr="1C83DAF5">
        <w:rPr>
          <w:lang w:val="de"/>
        </w:rPr>
        <w:t xml:space="preserve">Die belgischen Möbelexporte (incl. Transit) sind im Jahr 2023 um 10,8 % gesunken. 88,9 % der Möbelexporte gehen in den EU-Markt, wo die Lieferungen um 11,6 % zurückgingen. Die Verkäufe nach Frankreich, dem wichtigsten Exportmarkt mit einem Anteil von 32,4 %, und in die Niederlande, dem zweitwichtigsten Exportmarkt mit 24,4 %, gingen um 23,7 % bzw. 11,1 % stark zurück. Auf dem deutschen Markt, der mit 19 % der drittwichtigste Abnehmer ist, stiegen die Lieferungen jedoch um 14,9 %.  </w:t>
      </w:r>
    </w:p>
    <w:p w14:paraId="66CFB615" w14:textId="77777777" w:rsidR="00DD3B76" w:rsidRPr="00AA5743" w:rsidRDefault="00DD3B76" w:rsidP="00DD3B76">
      <w:pPr>
        <w:autoSpaceDE w:val="0"/>
        <w:autoSpaceDN w:val="0"/>
        <w:adjustRightInd w:val="0"/>
        <w:spacing w:after="0" w:line="240" w:lineRule="auto"/>
        <w:jc w:val="both"/>
        <w:textAlignment w:val="center"/>
        <w:rPr>
          <w:rFonts w:cstheme="minorHAnsi"/>
          <w:lang w:val="de-DE"/>
        </w:rPr>
      </w:pPr>
    </w:p>
    <w:p w14:paraId="49892902" w14:textId="77777777" w:rsidR="00DD3B76" w:rsidRPr="00AA5743" w:rsidRDefault="00DD3B76" w:rsidP="00DD3B76">
      <w:pPr>
        <w:autoSpaceDE w:val="0"/>
        <w:autoSpaceDN w:val="0"/>
        <w:adjustRightInd w:val="0"/>
        <w:spacing w:after="0" w:line="240" w:lineRule="auto"/>
        <w:jc w:val="both"/>
        <w:textAlignment w:val="center"/>
        <w:rPr>
          <w:rFonts w:cstheme="minorHAnsi"/>
          <w:lang w:val="de-DE"/>
        </w:rPr>
      </w:pPr>
      <w:r>
        <w:rPr>
          <w:rFonts w:cstheme="minorHAnsi"/>
          <w:lang w:val="de"/>
        </w:rPr>
        <w:t xml:space="preserve">Das Vereinigte Königreich verlor seinen Platz als wichtigster Exportmarkt außerhalb der EU (2,5 % Anteil) an die USA (2,9 % Anteil), nachdem die Exporte in den US-Markt um 13 % gestiegen waren; die Exporte in das Vereinigte Königreich sanken dagegen um 10,6 %.  </w:t>
      </w:r>
    </w:p>
    <w:p w14:paraId="2DF7025A" w14:textId="77777777" w:rsidR="00DD3B76" w:rsidRPr="00AA5743" w:rsidRDefault="00DD3B76" w:rsidP="00DD3B76">
      <w:pPr>
        <w:autoSpaceDE w:val="0"/>
        <w:autoSpaceDN w:val="0"/>
        <w:adjustRightInd w:val="0"/>
        <w:spacing w:after="0" w:line="240" w:lineRule="auto"/>
        <w:jc w:val="both"/>
        <w:textAlignment w:val="center"/>
        <w:rPr>
          <w:rFonts w:cstheme="minorHAnsi"/>
          <w:lang w:val="de-DE"/>
        </w:rPr>
      </w:pPr>
    </w:p>
    <w:p w14:paraId="7821FB40" w14:textId="77777777" w:rsidR="00DD3B76" w:rsidRPr="00AA5743" w:rsidRDefault="00DD3B76" w:rsidP="00DD3B76">
      <w:pPr>
        <w:autoSpaceDE w:val="0"/>
        <w:autoSpaceDN w:val="0"/>
        <w:adjustRightInd w:val="0"/>
        <w:spacing w:after="0" w:line="240" w:lineRule="auto"/>
        <w:jc w:val="both"/>
        <w:textAlignment w:val="center"/>
        <w:rPr>
          <w:lang w:val="de-DE"/>
        </w:rPr>
      </w:pPr>
      <w:r w:rsidRPr="1C83DAF5">
        <w:rPr>
          <w:lang w:val="de"/>
        </w:rPr>
        <w:t>In der ersten Hälfte des Jahres 2024 blieben die Möbelexporte stabil (+0,4 %). Die Lieferungen auf den europäischen Markt gingen jedoch um 1,9 % zurück: Frankreich -13,0 % und die Niederlande -11,5 %. Da die Exporte nach Deutschland um +46,4 % gestiegen sind, ist dieses Land nun der zweitwichtigste Absatzmarkt für belgische Möbel.</w:t>
      </w:r>
    </w:p>
    <w:p w14:paraId="4AB0CE2B" w14:textId="77777777" w:rsidR="00DD3B76" w:rsidRPr="00AA5743" w:rsidRDefault="00DD3B76" w:rsidP="00DD3B76">
      <w:pPr>
        <w:autoSpaceDE w:val="0"/>
        <w:autoSpaceDN w:val="0"/>
        <w:adjustRightInd w:val="0"/>
        <w:spacing w:after="0" w:line="240" w:lineRule="auto"/>
        <w:jc w:val="both"/>
        <w:textAlignment w:val="center"/>
        <w:rPr>
          <w:rFonts w:cstheme="minorHAnsi"/>
          <w:lang w:val="de-DE"/>
        </w:rPr>
      </w:pPr>
    </w:p>
    <w:p w14:paraId="7BE234A3" w14:textId="77777777" w:rsidR="00DD3B76" w:rsidRPr="00AA5743" w:rsidRDefault="00DD3B76" w:rsidP="00DD3B76">
      <w:pPr>
        <w:autoSpaceDE w:val="0"/>
        <w:autoSpaceDN w:val="0"/>
        <w:adjustRightInd w:val="0"/>
        <w:spacing w:after="0" w:line="240" w:lineRule="auto"/>
        <w:jc w:val="both"/>
        <w:textAlignment w:val="center"/>
        <w:rPr>
          <w:lang w:val="de-DE"/>
        </w:rPr>
      </w:pPr>
      <w:r w:rsidRPr="1C83DAF5">
        <w:rPr>
          <w:lang w:val="de"/>
        </w:rPr>
        <w:t>Die Möbelimporte sind 2023 um 12,7 % gesunken. Der Rückgang der Importe aus China hält an (-8,1 % im Jahr 2022 und -14,9 % im Jahr 2023). Dennoch bleibt China mit einem Anteil von 26,4 % der wichtigste und sehr dominante Lieferant von Möbeln auf unserem Markt. Die niederländischen (15,9 % Anteil) und deutschen (12,7 % Anteil) Möbelimporte sanken um 4,1 % bzw. 10,2 %. Polen ist der viertwichtigste Lieferant mit einem Anteil von 9,2 % und hat seine Lieferungen beibehalten (-0,7 %).</w:t>
      </w:r>
    </w:p>
    <w:p w14:paraId="300A5C6F" w14:textId="77777777" w:rsidR="00DD3B76" w:rsidRPr="00AA5743" w:rsidRDefault="00DD3B76" w:rsidP="00DD3B76">
      <w:pPr>
        <w:autoSpaceDE w:val="0"/>
        <w:autoSpaceDN w:val="0"/>
        <w:adjustRightInd w:val="0"/>
        <w:spacing w:after="0" w:line="240" w:lineRule="auto"/>
        <w:jc w:val="both"/>
        <w:textAlignment w:val="center"/>
        <w:rPr>
          <w:rFonts w:cstheme="minorHAnsi"/>
          <w:lang w:val="de-DE"/>
        </w:rPr>
      </w:pPr>
    </w:p>
    <w:p w14:paraId="1888D4AF" w14:textId="77777777" w:rsidR="00DD3B76" w:rsidRPr="00AA5743" w:rsidRDefault="00DD3B76" w:rsidP="00DD3B76">
      <w:pPr>
        <w:autoSpaceDE w:val="0"/>
        <w:autoSpaceDN w:val="0"/>
        <w:adjustRightInd w:val="0"/>
        <w:spacing w:after="0" w:line="240" w:lineRule="auto"/>
        <w:jc w:val="both"/>
        <w:textAlignment w:val="center"/>
        <w:rPr>
          <w:lang w:val="de-DE"/>
        </w:rPr>
      </w:pPr>
      <w:r w:rsidRPr="1C83DAF5">
        <w:rPr>
          <w:lang w:val="de"/>
        </w:rPr>
        <w:t xml:space="preserve">In der ersten Hälfte des Jahres 2024 stiegen die Möbelimporte um 1,1 %. Der Rückgang der Einfuhren aus China kam zum Stillstand. Die Möbelimporte aus China stiegen im ersten Halbjahr 2024 um +16,2 % im Vergleich zum gleichen Zeitraum 2023.  </w:t>
      </w:r>
    </w:p>
    <w:p w14:paraId="5454068E" w14:textId="77777777" w:rsidR="00DD3B76" w:rsidRPr="00AA5743" w:rsidRDefault="00DD3B76" w:rsidP="00DD3B76">
      <w:pPr>
        <w:suppressAutoHyphens/>
        <w:autoSpaceDE w:val="0"/>
        <w:autoSpaceDN w:val="0"/>
        <w:adjustRightInd w:val="0"/>
        <w:spacing w:before="120" w:after="120" w:line="240" w:lineRule="auto"/>
        <w:contextualSpacing/>
        <w:textAlignment w:val="center"/>
        <w:rPr>
          <w:rFonts w:cstheme="minorHAnsi"/>
          <w:b/>
          <w:bCs/>
          <w:color w:val="000000"/>
          <w:lang w:val="de-DE"/>
        </w:rPr>
      </w:pPr>
    </w:p>
    <w:p w14:paraId="7EC00491" w14:textId="77777777" w:rsidR="00DD3B76" w:rsidRDefault="00DD3B76" w:rsidP="00DD3B76">
      <w:pPr>
        <w:suppressAutoHyphens/>
        <w:autoSpaceDE w:val="0"/>
        <w:autoSpaceDN w:val="0"/>
        <w:adjustRightInd w:val="0"/>
        <w:spacing w:before="120" w:after="120" w:line="240" w:lineRule="auto"/>
        <w:contextualSpacing/>
        <w:textAlignment w:val="center"/>
        <w:rPr>
          <w:rFonts w:cstheme="minorHAnsi"/>
          <w:b/>
          <w:bCs/>
          <w:color w:val="000000"/>
          <w:lang w:val="de"/>
        </w:rPr>
      </w:pPr>
    </w:p>
    <w:p w14:paraId="368C4C47" w14:textId="79C7BD8F" w:rsidR="00DD3B76" w:rsidRPr="00AA5743" w:rsidRDefault="00DD3B76" w:rsidP="00DD3B76">
      <w:pPr>
        <w:suppressAutoHyphens/>
        <w:autoSpaceDE w:val="0"/>
        <w:autoSpaceDN w:val="0"/>
        <w:adjustRightInd w:val="0"/>
        <w:spacing w:before="120" w:after="120" w:line="240" w:lineRule="auto"/>
        <w:contextualSpacing/>
        <w:textAlignment w:val="center"/>
        <w:rPr>
          <w:rFonts w:cstheme="minorHAnsi"/>
          <w:b/>
          <w:bCs/>
          <w:color w:val="000000"/>
          <w:lang w:val="de-DE"/>
        </w:rPr>
      </w:pPr>
      <w:r>
        <w:rPr>
          <w:rFonts w:cstheme="minorHAnsi"/>
          <w:b/>
          <w:bCs/>
          <w:color w:val="000000"/>
          <w:lang w:val="de"/>
        </w:rPr>
        <w:lastRenderedPageBreak/>
        <w:t>SINKENDE INVESTITIONEN BEI EXTREM NIEDRIGER KAPAZITÄTSAUSLASTUNG</w:t>
      </w:r>
    </w:p>
    <w:p w14:paraId="3F571FB4" w14:textId="77777777" w:rsidR="00DD3B76" w:rsidRPr="00AA5743" w:rsidRDefault="00DD3B76" w:rsidP="00DD3B76">
      <w:pPr>
        <w:suppressAutoHyphens/>
        <w:autoSpaceDE w:val="0"/>
        <w:autoSpaceDN w:val="0"/>
        <w:adjustRightInd w:val="0"/>
        <w:spacing w:before="120" w:after="120" w:line="240" w:lineRule="auto"/>
        <w:contextualSpacing/>
        <w:textAlignment w:val="center"/>
        <w:rPr>
          <w:rFonts w:cstheme="minorHAnsi"/>
          <w:b/>
          <w:bCs/>
          <w:color w:val="000000"/>
          <w:lang w:val="de-DE"/>
        </w:rPr>
      </w:pPr>
    </w:p>
    <w:p w14:paraId="0C68030D" w14:textId="77777777" w:rsidR="00DD3B76" w:rsidRPr="00AA5743" w:rsidRDefault="00DD3B76" w:rsidP="00DD3B76">
      <w:pPr>
        <w:tabs>
          <w:tab w:val="left" w:pos="3884"/>
        </w:tabs>
        <w:autoSpaceDE w:val="0"/>
        <w:autoSpaceDN w:val="0"/>
        <w:adjustRightInd w:val="0"/>
        <w:spacing w:before="120" w:after="120" w:line="240" w:lineRule="auto"/>
        <w:ind w:right="28"/>
        <w:contextualSpacing/>
        <w:jc w:val="both"/>
        <w:textAlignment w:val="center"/>
        <w:rPr>
          <w:color w:val="000000"/>
          <w:lang w:val="de-DE"/>
        </w:rPr>
      </w:pPr>
      <w:r w:rsidRPr="1C83DAF5">
        <w:rPr>
          <w:color w:val="000000" w:themeColor="text1"/>
          <w:lang w:val="de"/>
        </w:rPr>
        <w:t xml:space="preserve">Die Kapazitätsauslastung fiel im Jahr 2023 auf durchschnittlich 73,5 % und damit auf den niedrigsten Stand seit 10 Jahren (82,3 % im Jahr 2022). Im </w:t>
      </w:r>
      <w:r w:rsidRPr="00F3785D">
        <w:rPr>
          <w:lang w:val="de"/>
        </w:rPr>
        <w:t>ersten</w:t>
      </w:r>
      <w:r w:rsidRPr="1C83DAF5">
        <w:rPr>
          <w:color w:val="000000" w:themeColor="text1"/>
          <w:lang w:val="de"/>
        </w:rPr>
        <w:t xml:space="preserve"> Halbjahr 2024 lag die Kapazitätsauslastung bei 70,6 %, verglichen mit 74,2 % im ersten Halbjahr 2023. Im Jahr 2023 waren die Investitionen das dritte Jahr in Folge um 8 % höher als 2022. In der ersten Hälfte des Jahres 2024 gingen die Investitionen jedoch um 15,8 % gegenüber dem gleichen Zeitraum 2023 zurück.  </w:t>
      </w:r>
    </w:p>
    <w:p w14:paraId="0D49C837" w14:textId="77777777" w:rsidR="00DD3B76" w:rsidRPr="00A93CEA" w:rsidRDefault="00DD3B76" w:rsidP="00DD3B76">
      <w:pPr>
        <w:tabs>
          <w:tab w:val="left" w:pos="3884"/>
        </w:tabs>
        <w:autoSpaceDE w:val="0"/>
        <w:autoSpaceDN w:val="0"/>
        <w:adjustRightInd w:val="0"/>
        <w:spacing w:before="120" w:after="120" w:line="240" w:lineRule="auto"/>
        <w:ind w:right="28"/>
        <w:contextualSpacing/>
        <w:textAlignment w:val="center"/>
        <w:rPr>
          <w:rFonts w:cstheme="minorHAnsi"/>
          <w:color w:val="000000"/>
          <w:lang w:val="nl-NL"/>
        </w:rPr>
      </w:pPr>
      <w:r w:rsidRPr="00A81DD0">
        <w:rPr>
          <w:rFonts w:cstheme="minorHAnsi"/>
          <w:noProof/>
          <w:sz w:val="10"/>
        </w:rPr>
        <w:drawing>
          <wp:inline distT="0" distB="0" distL="0" distR="0" wp14:anchorId="584382C5" wp14:editId="30FCA492">
            <wp:extent cx="5759532" cy="2547257"/>
            <wp:effectExtent l="0" t="0" r="0" b="0"/>
            <wp:docPr id="14" name="Grafiek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292AC30" w14:textId="277C24FD" w:rsidR="00DD3B76" w:rsidRDefault="00DD3B76" w:rsidP="00DD3B76">
      <w:pPr>
        <w:rPr>
          <w:rFonts w:cstheme="minorHAnsi"/>
          <w:b/>
          <w:bCs/>
          <w:color w:val="000000"/>
          <w:lang w:val="nl-NL"/>
        </w:rPr>
      </w:pPr>
    </w:p>
    <w:p w14:paraId="2FE48ED8" w14:textId="77777777" w:rsidR="00DD3B76" w:rsidRPr="00AA5743" w:rsidRDefault="00DD3B76" w:rsidP="00DD3B76">
      <w:pPr>
        <w:suppressAutoHyphens/>
        <w:autoSpaceDE w:val="0"/>
        <w:autoSpaceDN w:val="0"/>
        <w:adjustRightInd w:val="0"/>
        <w:spacing w:before="120" w:after="120" w:line="240" w:lineRule="auto"/>
        <w:contextualSpacing/>
        <w:textAlignment w:val="center"/>
        <w:rPr>
          <w:rFonts w:cstheme="minorHAnsi"/>
          <w:b/>
          <w:bCs/>
          <w:color w:val="000000"/>
          <w:lang w:val="de-DE"/>
        </w:rPr>
      </w:pPr>
      <w:r w:rsidRPr="00A93CEA">
        <w:rPr>
          <w:rFonts w:cstheme="minorHAnsi"/>
          <w:b/>
          <w:bCs/>
          <w:color w:val="000000"/>
          <w:lang w:val="de"/>
        </w:rPr>
        <w:t>BESCHÄFTIGUNG GESUNKEN</w:t>
      </w:r>
    </w:p>
    <w:p w14:paraId="6E48D367" w14:textId="77777777" w:rsidR="00DD3B76" w:rsidRPr="00AA5743" w:rsidRDefault="00DD3B76" w:rsidP="00DD3B76">
      <w:pPr>
        <w:suppressAutoHyphens/>
        <w:autoSpaceDE w:val="0"/>
        <w:autoSpaceDN w:val="0"/>
        <w:adjustRightInd w:val="0"/>
        <w:spacing w:before="120" w:after="120" w:line="240" w:lineRule="auto"/>
        <w:contextualSpacing/>
        <w:textAlignment w:val="center"/>
        <w:rPr>
          <w:rFonts w:cstheme="minorHAnsi"/>
          <w:b/>
          <w:bCs/>
          <w:color w:val="000000"/>
          <w:lang w:val="de-DE"/>
        </w:rPr>
      </w:pPr>
    </w:p>
    <w:p w14:paraId="7AE2F593" w14:textId="77777777" w:rsidR="00DD3B76" w:rsidRPr="00AA5743" w:rsidRDefault="00DD3B76" w:rsidP="00DD3B76">
      <w:pPr>
        <w:autoSpaceDE w:val="0"/>
        <w:autoSpaceDN w:val="0"/>
        <w:adjustRightInd w:val="0"/>
        <w:spacing w:before="120" w:after="120" w:line="240" w:lineRule="auto"/>
        <w:contextualSpacing/>
        <w:jc w:val="both"/>
        <w:textAlignment w:val="center"/>
        <w:rPr>
          <w:lang w:val="de-DE"/>
        </w:rPr>
      </w:pPr>
      <w:r w:rsidRPr="1C83DAF5">
        <w:rPr>
          <w:color w:val="000000" w:themeColor="text1"/>
          <w:lang w:val="de"/>
        </w:rPr>
        <w:t xml:space="preserve">Die Möbelindustrie beschäftigte im Jahr 2023 9.559 Arbeitnehmer. Im Vergleich zu 2022 ist dies ein Rückgang </w:t>
      </w:r>
      <w:r>
        <w:rPr>
          <w:lang w:val="de"/>
        </w:rPr>
        <w:t xml:space="preserve">um 204 Arbeitnehmer oder 2,1 % aufgrund von Insolvenzen. Im ersten Quartal 2024 ging die Beschäftigung weiter auf 8.933 Beschäftigte zurück: -8,9 % im Vergleich zum gleichen Zeitraum 2023.   </w:t>
      </w:r>
    </w:p>
    <w:p w14:paraId="6FF3FC9D" w14:textId="77777777" w:rsidR="00DD3B76" w:rsidRPr="00AA5743" w:rsidRDefault="00DD3B76" w:rsidP="00DD3B76">
      <w:pPr>
        <w:autoSpaceDE w:val="0"/>
        <w:autoSpaceDN w:val="0"/>
        <w:adjustRightInd w:val="0"/>
        <w:spacing w:before="120" w:after="120" w:line="240" w:lineRule="auto"/>
        <w:contextualSpacing/>
        <w:jc w:val="both"/>
        <w:textAlignment w:val="center"/>
        <w:rPr>
          <w:rFonts w:cstheme="minorHAnsi"/>
          <w:color w:val="000000"/>
          <w:lang w:val="de-DE"/>
        </w:rPr>
      </w:pPr>
    </w:p>
    <w:p w14:paraId="7E2F08BE" w14:textId="77777777" w:rsidR="00DD3B76" w:rsidRDefault="00DD3B76" w:rsidP="00DD3B76">
      <w:pPr>
        <w:autoSpaceDE w:val="0"/>
        <w:autoSpaceDN w:val="0"/>
        <w:adjustRightInd w:val="0"/>
        <w:spacing w:before="120" w:after="120" w:line="240" w:lineRule="auto"/>
        <w:contextualSpacing/>
        <w:jc w:val="both"/>
        <w:textAlignment w:val="center"/>
        <w:rPr>
          <w:rFonts w:cstheme="minorHAnsi"/>
          <w:b/>
          <w:bCs/>
          <w:color w:val="000000"/>
          <w:lang w:val="nl-NL"/>
        </w:rPr>
      </w:pPr>
      <w:r>
        <w:rPr>
          <w:rFonts w:cstheme="minorHAnsi"/>
          <w:b/>
          <w:bCs/>
          <w:color w:val="000000"/>
          <w:lang w:val="de"/>
        </w:rPr>
        <w:t>ENTWICKLUNGEN IM MÖBELHANDEL</w:t>
      </w:r>
    </w:p>
    <w:p w14:paraId="6D6F6F03" w14:textId="77777777" w:rsidR="00DD3B76" w:rsidRDefault="00DD3B76" w:rsidP="00DD3B76">
      <w:pPr>
        <w:autoSpaceDE w:val="0"/>
        <w:autoSpaceDN w:val="0"/>
        <w:adjustRightInd w:val="0"/>
        <w:spacing w:before="120" w:after="120" w:line="240" w:lineRule="auto"/>
        <w:contextualSpacing/>
        <w:jc w:val="both"/>
        <w:textAlignment w:val="center"/>
        <w:rPr>
          <w:rFonts w:cstheme="minorHAnsi"/>
          <w:b/>
          <w:bCs/>
          <w:color w:val="000000"/>
          <w:lang w:val="nl-NL"/>
        </w:rPr>
      </w:pPr>
    </w:p>
    <w:p w14:paraId="6702A805" w14:textId="77777777" w:rsidR="00DD3B76" w:rsidRDefault="00DD3B76" w:rsidP="00DD3B76">
      <w:pPr>
        <w:autoSpaceDE w:val="0"/>
        <w:autoSpaceDN w:val="0"/>
        <w:adjustRightInd w:val="0"/>
        <w:spacing w:before="120" w:after="120" w:line="240" w:lineRule="auto"/>
        <w:contextualSpacing/>
        <w:jc w:val="both"/>
        <w:textAlignment w:val="center"/>
        <w:rPr>
          <w:b/>
          <w:bCs/>
          <w:color w:val="000000"/>
          <w:lang w:val="nl-NL"/>
        </w:rPr>
      </w:pPr>
      <w:r>
        <w:rPr>
          <w:noProof/>
        </w:rPr>
        <w:drawing>
          <wp:inline distT="0" distB="0" distL="0" distR="0" wp14:anchorId="6742492E" wp14:editId="74FE693C">
            <wp:extent cx="5760720" cy="2713990"/>
            <wp:effectExtent l="0" t="0" r="11430" b="10160"/>
            <wp:docPr id="720551547" name="Grafiek 1">
              <a:extLst xmlns:a="http://schemas.openxmlformats.org/drawingml/2006/main">
                <a:ext uri="{FF2B5EF4-FFF2-40B4-BE49-F238E27FC236}">
                  <a16:creationId xmlns:a16="http://schemas.microsoft.com/office/drawing/2014/main" id="{E1F1318F-75CD-2F73-53AC-5463457948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BF4B13D" w14:textId="77777777" w:rsidR="00DD3B76" w:rsidRPr="00AA5743" w:rsidRDefault="00DD3B76" w:rsidP="00DD3B76">
      <w:pPr>
        <w:autoSpaceDE w:val="0"/>
        <w:autoSpaceDN w:val="0"/>
        <w:adjustRightInd w:val="0"/>
        <w:spacing w:before="120" w:after="120" w:line="240" w:lineRule="auto"/>
        <w:contextualSpacing/>
        <w:jc w:val="both"/>
        <w:textAlignment w:val="center"/>
        <w:rPr>
          <w:rFonts w:cstheme="minorHAnsi"/>
          <w:color w:val="000000"/>
          <w:lang w:val="de-DE"/>
        </w:rPr>
      </w:pPr>
      <w:r w:rsidRPr="00CC46B2">
        <w:rPr>
          <w:rFonts w:cstheme="minorHAnsi"/>
          <w:color w:val="000000"/>
          <w:lang w:val="de"/>
        </w:rPr>
        <w:t>Quelle: NBB</w:t>
      </w:r>
    </w:p>
    <w:p w14:paraId="254060CE" w14:textId="77777777" w:rsidR="00DD3B76" w:rsidRPr="00AA5743" w:rsidRDefault="00DD3B76" w:rsidP="00DD3B76">
      <w:pPr>
        <w:autoSpaceDE w:val="0"/>
        <w:autoSpaceDN w:val="0"/>
        <w:adjustRightInd w:val="0"/>
        <w:spacing w:before="120" w:after="120" w:line="240" w:lineRule="auto"/>
        <w:contextualSpacing/>
        <w:jc w:val="both"/>
        <w:textAlignment w:val="center"/>
        <w:rPr>
          <w:rFonts w:cstheme="minorHAnsi"/>
          <w:b/>
          <w:bCs/>
          <w:color w:val="000000"/>
          <w:lang w:val="de-DE"/>
        </w:rPr>
      </w:pPr>
    </w:p>
    <w:p w14:paraId="31CE8B30" w14:textId="77777777" w:rsidR="00DD3B76" w:rsidRPr="00AA5743" w:rsidRDefault="00DD3B76" w:rsidP="00DD3B76">
      <w:pPr>
        <w:autoSpaceDE w:val="0"/>
        <w:autoSpaceDN w:val="0"/>
        <w:adjustRightInd w:val="0"/>
        <w:spacing w:before="120" w:after="120" w:line="240" w:lineRule="auto"/>
        <w:contextualSpacing/>
        <w:jc w:val="both"/>
        <w:textAlignment w:val="center"/>
        <w:rPr>
          <w:color w:val="000000"/>
          <w:lang w:val="de-DE"/>
        </w:rPr>
      </w:pPr>
      <w:r w:rsidRPr="1C83DAF5">
        <w:rPr>
          <w:color w:val="000000" w:themeColor="text1"/>
          <w:lang w:val="de"/>
        </w:rPr>
        <w:lastRenderedPageBreak/>
        <w:t>Die Auftragslage im Möbelhandel bleibt 2024 schwach. Vor allem in den ersten vier Monaten lag das Auftragsniveau deutlich unter dem von 2023. Auch im Juli-August gingen die Aufträge zurück.  Kumuliert für die ersten acht Monate lagen die Aufträge um 2,8 % unter denen von 2023.</w:t>
      </w:r>
    </w:p>
    <w:p w14:paraId="5BBE8DCC" w14:textId="77777777" w:rsidR="00DD3B76" w:rsidRPr="00AA5743" w:rsidRDefault="00DD3B76" w:rsidP="00DD3B76">
      <w:pPr>
        <w:autoSpaceDE w:val="0"/>
        <w:autoSpaceDN w:val="0"/>
        <w:adjustRightInd w:val="0"/>
        <w:spacing w:before="120" w:after="120" w:line="240" w:lineRule="auto"/>
        <w:contextualSpacing/>
        <w:jc w:val="both"/>
        <w:textAlignment w:val="center"/>
        <w:rPr>
          <w:rFonts w:cstheme="minorHAnsi"/>
          <w:color w:val="000000"/>
          <w:lang w:val="de-DE"/>
        </w:rPr>
      </w:pPr>
    </w:p>
    <w:p w14:paraId="3852B163" w14:textId="77777777" w:rsidR="00DD3B76" w:rsidRPr="00AA5743" w:rsidRDefault="00DD3B76" w:rsidP="00DD3B76">
      <w:pPr>
        <w:autoSpaceDE w:val="0"/>
        <w:autoSpaceDN w:val="0"/>
        <w:adjustRightInd w:val="0"/>
        <w:spacing w:before="120" w:after="120" w:line="240" w:lineRule="auto"/>
        <w:contextualSpacing/>
        <w:textAlignment w:val="center"/>
        <w:rPr>
          <w:b/>
          <w:bCs/>
          <w:color w:val="000000"/>
          <w:lang w:val="de-DE"/>
        </w:rPr>
      </w:pPr>
      <w:r w:rsidRPr="1C83DAF5">
        <w:rPr>
          <w:b/>
          <w:bCs/>
          <w:color w:val="000000" w:themeColor="text1"/>
          <w:lang w:val="de"/>
        </w:rPr>
        <w:t xml:space="preserve">AUSBLICK 2 auf </w:t>
      </w:r>
      <w:r w:rsidRPr="1C83DAF5">
        <w:rPr>
          <w:b/>
          <w:bCs/>
          <w:color w:val="000000" w:themeColor="text1"/>
          <w:vertAlign w:val="superscript"/>
          <w:lang w:val="de"/>
        </w:rPr>
        <w:t>das</w:t>
      </w:r>
      <w:r w:rsidRPr="1C83DAF5">
        <w:rPr>
          <w:b/>
          <w:bCs/>
          <w:color w:val="000000" w:themeColor="text1"/>
          <w:lang w:val="de"/>
        </w:rPr>
        <w:t xml:space="preserve"> HALBJAHR 2024: ALLENFALLS STABILISIERUNG AUF NIEDRIGEM NIVEAU </w:t>
      </w:r>
    </w:p>
    <w:p w14:paraId="576BFA7B" w14:textId="77777777" w:rsidR="00DD3B76" w:rsidRPr="00AA5743" w:rsidRDefault="00DD3B76" w:rsidP="00DD3B76">
      <w:pPr>
        <w:autoSpaceDE w:val="0"/>
        <w:autoSpaceDN w:val="0"/>
        <w:adjustRightInd w:val="0"/>
        <w:spacing w:before="120" w:after="120" w:line="240" w:lineRule="auto"/>
        <w:contextualSpacing/>
        <w:textAlignment w:val="center"/>
        <w:rPr>
          <w:rFonts w:cstheme="minorHAnsi"/>
          <w:b/>
          <w:bCs/>
          <w:color w:val="000000"/>
          <w:sz w:val="20"/>
          <w:szCs w:val="20"/>
          <w:lang w:val="de-DE"/>
        </w:rPr>
      </w:pPr>
    </w:p>
    <w:p w14:paraId="64752084" w14:textId="77777777" w:rsidR="00DD3B76" w:rsidRPr="00AA5743" w:rsidRDefault="00DD3B76" w:rsidP="00DD3B76">
      <w:pPr>
        <w:tabs>
          <w:tab w:val="left" w:pos="3884"/>
        </w:tabs>
        <w:autoSpaceDE w:val="0"/>
        <w:autoSpaceDN w:val="0"/>
        <w:adjustRightInd w:val="0"/>
        <w:spacing w:before="120" w:after="120" w:line="240" w:lineRule="auto"/>
        <w:ind w:right="28"/>
        <w:contextualSpacing/>
        <w:jc w:val="both"/>
        <w:textAlignment w:val="center"/>
        <w:rPr>
          <w:lang w:val="de-DE"/>
        </w:rPr>
      </w:pPr>
      <w:r>
        <w:rPr>
          <w:lang w:val="de"/>
        </w:rPr>
        <w:t xml:space="preserve">Nach einem historischen Tiefstand Mitte 2022 aufgrund der Energiekrise erholte sich das Verbrauchervertrauen sowohl in Belgien als auch in Europa im Jahr 2023. In den ersten 9 Monaten des Jahres 2024 war das belgische und europäische Verbrauchervertrauen im Allgemeinen höher als im Jahr 2023.  </w:t>
      </w:r>
    </w:p>
    <w:p w14:paraId="7C6D4E01" w14:textId="77777777" w:rsidR="00DD3B76" w:rsidRPr="00AA5743" w:rsidRDefault="00DD3B76" w:rsidP="00DD3B76">
      <w:pPr>
        <w:tabs>
          <w:tab w:val="left" w:pos="3884"/>
        </w:tabs>
        <w:autoSpaceDE w:val="0"/>
        <w:autoSpaceDN w:val="0"/>
        <w:adjustRightInd w:val="0"/>
        <w:spacing w:before="120" w:after="120" w:line="240" w:lineRule="auto"/>
        <w:ind w:right="28"/>
        <w:contextualSpacing/>
        <w:jc w:val="both"/>
        <w:textAlignment w:val="center"/>
        <w:rPr>
          <w:lang w:val="de-DE"/>
        </w:rPr>
      </w:pPr>
    </w:p>
    <w:p w14:paraId="08566557" w14:textId="77777777" w:rsidR="00DD3B76" w:rsidRDefault="00DD3B76" w:rsidP="00DD3B76">
      <w:pPr>
        <w:tabs>
          <w:tab w:val="left" w:pos="3884"/>
        </w:tabs>
        <w:autoSpaceDE w:val="0"/>
        <w:autoSpaceDN w:val="0"/>
        <w:adjustRightInd w:val="0"/>
        <w:spacing w:before="120" w:after="120" w:line="240" w:lineRule="auto"/>
        <w:ind w:right="28"/>
        <w:contextualSpacing/>
        <w:jc w:val="both"/>
        <w:textAlignment w:val="center"/>
      </w:pPr>
      <w:r w:rsidRPr="00143B5F">
        <w:rPr>
          <w:noProof/>
        </w:rPr>
        <w:drawing>
          <wp:inline distT="0" distB="0" distL="0" distR="0" wp14:anchorId="5F1828D8" wp14:editId="3CE3BEA9">
            <wp:extent cx="5694045" cy="3664223"/>
            <wp:effectExtent l="0" t="0" r="1905" b="0"/>
            <wp:docPr id="4" name="Afbeelding 3" descr="Afbeelding met tekst, schermopname, Perceel&#10;&#10;Automatisch gegenereerde beschrijving">
              <a:extLst xmlns:a="http://schemas.openxmlformats.org/drawingml/2006/main">
                <a:ext uri="{FF2B5EF4-FFF2-40B4-BE49-F238E27FC236}">
                  <a16:creationId xmlns:a16="http://schemas.microsoft.com/office/drawing/2014/main" id="{BD3ABC0C-8478-A154-D0ED-1AF83F2238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403607" name="Afbeelding 3" descr="Afbeelding met tekst, schermopname, Perceel&#10;&#10;Automatisch gegenereerde beschrijving">
                      <a:extLst>
                        <a:ext uri="{FF2B5EF4-FFF2-40B4-BE49-F238E27FC236}">
                          <a16:creationId xmlns:a16="http://schemas.microsoft.com/office/drawing/2014/main" id="{BD3ABC0C-8478-A154-D0ED-1AF83F2238F5}"/>
                        </a:ext>
                      </a:extLst>
                    </pic:cNvPr>
                    <pic:cNvPicPr>
                      <a:picLocks noChangeAspect="1"/>
                    </pic:cNvPicPr>
                  </pic:nvPicPr>
                  <pic:blipFill>
                    <a:blip r:embed="rId11"/>
                    <a:stretch>
                      <a:fillRect/>
                    </a:stretch>
                  </pic:blipFill>
                  <pic:spPr>
                    <a:xfrm>
                      <a:off x="0" y="0"/>
                      <a:ext cx="5695908" cy="3665422"/>
                    </a:xfrm>
                    <a:prstGeom prst="rect">
                      <a:avLst/>
                    </a:prstGeom>
                  </pic:spPr>
                </pic:pic>
              </a:graphicData>
            </a:graphic>
          </wp:inline>
        </w:drawing>
      </w:r>
    </w:p>
    <w:p w14:paraId="757A8083" w14:textId="77777777" w:rsidR="00DD3B76" w:rsidRPr="00AA5743" w:rsidRDefault="00DD3B76" w:rsidP="00DD3B76">
      <w:pPr>
        <w:spacing w:line="257" w:lineRule="auto"/>
        <w:jc w:val="both"/>
        <w:rPr>
          <w:rFonts w:cstheme="minorHAnsi"/>
          <w:color w:val="000000"/>
          <w:lang w:val="de-DE"/>
        </w:rPr>
      </w:pPr>
      <w:r w:rsidRPr="00521BCA">
        <w:rPr>
          <w:rFonts w:cstheme="minorHAnsi"/>
          <w:color w:val="000000"/>
          <w:lang w:val="de"/>
        </w:rPr>
        <w:t xml:space="preserve">Die Konjunkturkurve der Möbelindustrie, die das Geschäftsvertrauen widerspiegelt und der tatsächlichen Wirtschaftstätigkeit etwa 3 Monate voraus ist, blieb Anfang 2024 auf einem extrem niedrigen Niveau.  Im August-September verbesserte sich das Geschäftsvertrauen merklich.  </w:t>
      </w:r>
    </w:p>
    <w:p w14:paraId="77A10D7C" w14:textId="77777777" w:rsidR="00DD3B76" w:rsidRPr="00AA5743" w:rsidRDefault="00DD3B76" w:rsidP="00DD3B76">
      <w:pPr>
        <w:autoSpaceDE w:val="0"/>
        <w:autoSpaceDN w:val="0"/>
        <w:adjustRightInd w:val="0"/>
        <w:spacing w:before="120" w:after="120" w:line="240" w:lineRule="auto"/>
        <w:contextualSpacing/>
        <w:jc w:val="center"/>
        <w:textAlignment w:val="center"/>
        <w:rPr>
          <w:rFonts w:cstheme="minorHAnsi"/>
          <w:b/>
          <w:bCs/>
          <w:color w:val="000000"/>
          <w:lang w:val="de-DE"/>
        </w:rPr>
      </w:pPr>
      <w:r w:rsidRPr="006B0732">
        <w:rPr>
          <w:rFonts w:cstheme="minorHAnsi"/>
          <w:b/>
          <w:bCs/>
          <w:color w:val="000000"/>
          <w:sz w:val="24"/>
          <w:szCs w:val="24"/>
          <w:lang w:val="de"/>
        </w:rPr>
        <w:t>Synthetische Konjunkturkurve der Möbelindustrie</w:t>
      </w:r>
      <w:r>
        <w:rPr>
          <w:noProof/>
        </w:rPr>
        <w:drawing>
          <wp:inline distT="0" distB="0" distL="0" distR="0" wp14:anchorId="08162B38" wp14:editId="5584C44E">
            <wp:extent cx="2675733" cy="1699679"/>
            <wp:effectExtent l="0" t="0" r="0" b="0"/>
            <wp:docPr id="2083350543" name="Afbeelding 1" descr="Afbeelding met lijn, Perceel, diagram,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940732" name="Afbeelding 1" descr="Afbeelding met lijn, Perceel, diagram, nummer&#10;&#10;Automatisch gegenereerde beschrijving"/>
                    <pic:cNvPicPr/>
                  </pic:nvPicPr>
                  <pic:blipFill>
                    <a:blip r:embed="rId12"/>
                    <a:stretch>
                      <a:fillRect/>
                    </a:stretch>
                  </pic:blipFill>
                  <pic:spPr>
                    <a:xfrm>
                      <a:off x="0" y="0"/>
                      <a:ext cx="2681175" cy="1703136"/>
                    </a:xfrm>
                    <a:prstGeom prst="rect">
                      <a:avLst/>
                    </a:prstGeom>
                  </pic:spPr>
                </pic:pic>
              </a:graphicData>
            </a:graphic>
          </wp:inline>
        </w:drawing>
      </w:r>
      <w:r w:rsidRPr="002C5C92">
        <w:rPr>
          <w:noProof/>
        </w:rPr>
        <w:drawing>
          <wp:inline distT="0" distB="0" distL="0" distR="0" wp14:anchorId="616BD0AE" wp14:editId="00319615">
            <wp:extent cx="3452091" cy="1905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88290" cy="192498"/>
                    </a:xfrm>
                    <a:prstGeom prst="rect">
                      <a:avLst/>
                    </a:prstGeom>
                  </pic:spPr>
                </pic:pic>
              </a:graphicData>
            </a:graphic>
          </wp:inline>
        </w:drawing>
      </w:r>
    </w:p>
    <w:p w14:paraId="788F3D76" w14:textId="77777777" w:rsidR="00DD3B76" w:rsidRPr="00AA5743" w:rsidRDefault="00DD3B76" w:rsidP="00DD3B76">
      <w:pPr>
        <w:autoSpaceDE w:val="0"/>
        <w:autoSpaceDN w:val="0"/>
        <w:adjustRightInd w:val="0"/>
        <w:spacing w:before="120" w:after="120" w:line="240" w:lineRule="auto"/>
        <w:contextualSpacing/>
        <w:jc w:val="center"/>
        <w:textAlignment w:val="center"/>
        <w:rPr>
          <w:b/>
          <w:bCs/>
          <w:color w:val="000000"/>
          <w:lang w:val="de-DE"/>
        </w:rPr>
      </w:pPr>
      <w:r w:rsidRPr="1C83DAF5">
        <w:rPr>
          <w:b/>
          <w:bCs/>
          <w:color w:val="000000" w:themeColor="text1"/>
          <w:lang w:val="de"/>
        </w:rPr>
        <w:t>Quelle: NBB</w:t>
      </w:r>
    </w:p>
    <w:p w14:paraId="2A35DBF8" w14:textId="77777777" w:rsidR="00DD3B76" w:rsidRPr="00AA5743" w:rsidRDefault="00DD3B76" w:rsidP="00DD3B76">
      <w:pPr>
        <w:autoSpaceDE w:val="0"/>
        <w:autoSpaceDN w:val="0"/>
        <w:adjustRightInd w:val="0"/>
        <w:spacing w:before="120" w:after="120" w:line="240" w:lineRule="auto"/>
        <w:contextualSpacing/>
        <w:textAlignment w:val="center"/>
        <w:rPr>
          <w:rFonts w:cstheme="minorHAnsi"/>
          <w:b/>
          <w:bCs/>
          <w:color w:val="000000"/>
          <w:lang w:val="de-DE"/>
        </w:rPr>
      </w:pPr>
    </w:p>
    <w:p w14:paraId="6F44758F" w14:textId="77777777" w:rsidR="00DD3B76" w:rsidRPr="00AA5743" w:rsidRDefault="00DD3B76" w:rsidP="00DD3B76">
      <w:pPr>
        <w:spacing w:line="257" w:lineRule="auto"/>
        <w:jc w:val="both"/>
        <w:rPr>
          <w:color w:val="000000"/>
          <w:lang w:val="de-DE"/>
        </w:rPr>
      </w:pPr>
      <w:r w:rsidRPr="1C83DAF5">
        <w:rPr>
          <w:rFonts w:ascii="Calibri" w:eastAsia="Calibri" w:hAnsi="Calibri" w:cs="Calibri"/>
          <w:lang w:val="de"/>
        </w:rPr>
        <w:lastRenderedPageBreak/>
        <w:t xml:space="preserve">Höhere Hypothekenzinsen und gestiegene Preise haben das Bauen erheblich verteuert. Es wird erwartet, dass sich die Bautätigkeit im Jahr 2024 noch nicht erholt und weiter leicht zurückgeht, was auch die Möbelindustrie betrifft.  </w:t>
      </w:r>
    </w:p>
    <w:p w14:paraId="305EDF31" w14:textId="77777777" w:rsidR="00DD3B76" w:rsidRPr="00AA5743" w:rsidRDefault="00DD3B76" w:rsidP="00DD3B76">
      <w:pPr>
        <w:spacing w:line="257" w:lineRule="auto"/>
        <w:jc w:val="both"/>
        <w:rPr>
          <w:color w:val="000000"/>
          <w:lang w:val="de-DE"/>
        </w:rPr>
      </w:pPr>
      <w:r w:rsidRPr="1C83DAF5">
        <w:rPr>
          <w:color w:val="000000" w:themeColor="text1"/>
          <w:lang w:val="de"/>
        </w:rPr>
        <w:t xml:space="preserve">Die erwartete stärkere europäische Erholung in der zweiten Hälfte dieses Jahres könnte sich positiv auf die Möbelexporte auswirken. Die geschwächte Wettbewerbsfähigkeit macht unsere Unternehmen auf den Exportmärkten jedoch weniger wettbewerbsfähig. </w:t>
      </w:r>
    </w:p>
    <w:p w14:paraId="5776C286" w14:textId="60A3D08E" w:rsidR="00DD3B76" w:rsidRPr="006219BD" w:rsidRDefault="00DD3B76" w:rsidP="00DD3B76">
      <w:pPr>
        <w:rPr>
          <w:rFonts w:cstheme="minorHAnsi"/>
          <w:b/>
          <w:bCs/>
          <w:color w:val="000000"/>
          <w:lang w:val="nl-NL"/>
        </w:rPr>
      </w:pPr>
      <w:r w:rsidRPr="00AA5743">
        <w:rPr>
          <w:rFonts w:cstheme="minorHAnsi"/>
          <w:color w:val="000000"/>
          <w:lang w:val="de-DE"/>
        </w:rPr>
        <w:br w:type="page"/>
      </w:r>
      <w:r w:rsidRPr="006219BD">
        <w:rPr>
          <w:rFonts w:cstheme="minorHAnsi"/>
          <w:b/>
          <w:bCs/>
          <w:color w:val="000000"/>
          <w:lang w:val="de"/>
        </w:rPr>
        <w:lastRenderedPageBreak/>
        <w:t>EINFUHREN und AUSFUHREN 6 M 2024</w:t>
      </w:r>
    </w:p>
    <w:tbl>
      <w:tblPr>
        <w:tblW w:w="9105" w:type="dxa"/>
        <w:tblLayout w:type="fixed"/>
        <w:tblCellMar>
          <w:left w:w="70" w:type="dxa"/>
          <w:right w:w="70" w:type="dxa"/>
        </w:tblCellMar>
        <w:tblLook w:val="04A0" w:firstRow="1" w:lastRow="0" w:firstColumn="1" w:lastColumn="0" w:noHBand="0" w:noVBand="1"/>
      </w:tblPr>
      <w:tblGrid>
        <w:gridCol w:w="1838"/>
        <w:gridCol w:w="805"/>
        <w:gridCol w:w="896"/>
        <w:gridCol w:w="992"/>
        <w:gridCol w:w="735"/>
        <w:gridCol w:w="638"/>
        <w:gridCol w:w="805"/>
        <w:gridCol w:w="806"/>
        <w:gridCol w:w="806"/>
        <w:gridCol w:w="784"/>
      </w:tblGrid>
      <w:tr w:rsidR="00DD3B76" w14:paraId="7597EC96" w14:textId="77777777" w:rsidTr="00B20E50">
        <w:tc>
          <w:tcPr>
            <w:tcW w:w="1838" w:type="dxa"/>
            <w:tcBorders>
              <w:top w:val="single" w:sz="4" w:space="0" w:color="auto"/>
              <w:left w:val="single" w:sz="4" w:space="0" w:color="auto"/>
              <w:bottom w:val="nil"/>
              <w:right w:val="nil"/>
            </w:tcBorders>
            <w:shd w:val="clear" w:color="auto" w:fill="BFBFBF" w:themeFill="background1" w:themeFillShade="BF"/>
            <w:noWrap/>
            <w:vAlign w:val="bottom"/>
            <w:hideMark/>
          </w:tcPr>
          <w:p w14:paraId="021177F5" w14:textId="77777777" w:rsidR="00DD3B76" w:rsidRPr="0036109B" w:rsidRDefault="00DD3B76" w:rsidP="00B20E50">
            <w:pPr>
              <w:spacing w:after="0" w:line="240" w:lineRule="auto"/>
              <w:rPr>
                <w:rFonts w:eastAsia="Times New Roman" w:cstheme="minorHAnsi"/>
                <w:b/>
                <w:bCs/>
                <w:color w:val="000000"/>
                <w:sz w:val="14"/>
                <w:szCs w:val="14"/>
                <w:lang w:eastAsia="nl-BE"/>
              </w:rPr>
            </w:pPr>
            <w:r w:rsidRPr="0036109B">
              <w:rPr>
                <w:rFonts w:eastAsia="Times New Roman" w:cstheme="minorHAnsi"/>
                <w:b/>
                <w:bCs/>
                <w:color w:val="000000"/>
                <w:sz w:val="14"/>
                <w:szCs w:val="14"/>
                <w:lang w:eastAsia="nl-BE"/>
              </w:rPr>
              <w:t> </w:t>
            </w:r>
          </w:p>
        </w:tc>
        <w:tc>
          <w:tcPr>
            <w:tcW w:w="3428" w:type="dxa"/>
            <w:gridSpan w:val="4"/>
            <w:tcBorders>
              <w:top w:val="single" w:sz="4" w:space="0" w:color="auto"/>
              <w:left w:val="single" w:sz="4" w:space="0" w:color="auto"/>
              <w:bottom w:val="nil"/>
              <w:right w:val="single" w:sz="4" w:space="0" w:color="auto"/>
            </w:tcBorders>
            <w:shd w:val="clear" w:color="auto" w:fill="BFBFBF" w:themeFill="background1" w:themeFillShade="BF"/>
            <w:noWrap/>
            <w:vAlign w:val="bottom"/>
          </w:tcPr>
          <w:p w14:paraId="7333AD58" w14:textId="77777777" w:rsidR="00DD3B76" w:rsidRPr="0036109B" w:rsidRDefault="00DD3B76" w:rsidP="00B20E50">
            <w:pPr>
              <w:spacing w:after="0" w:line="240" w:lineRule="auto"/>
              <w:jc w:val="center"/>
              <w:rPr>
                <w:rFonts w:eastAsia="Times New Roman" w:cstheme="minorHAnsi"/>
                <w:b/>
                <w:bCs/>
                <w:color w:val="000000"/>
                <w:sz w:val="14"/>
                <w:szCs w:val="14"/>
                <w:lang w:eastAsia="nl-BE"/>
              </w:rPr>
            </w:pPr>
            <w:r w:rsidRPr="00FF4AA5">
              <w:rPr>
                <w:rFonts w:eastAsia="Times New Roman" w:cstheme="minorHAnsi"/>
                <w:b/>
                <w:bCs/>
                <w:color w:val="000000"/>
                <w:sz w:val="14"/>
                <w:szCs w:val="14"/>
                <w:lang w:val="de" w:eastAsia="nl-BE"/>
              </w:rPr>
              <w:t>Belgische Importe</w:t>
            </w:r>
          </w:p>
        </w:tc>
        <w:tc>
          <w:tcPr>
            <w:tcW w:w="3055" w:type="dxa"/>
            <w:gridSpan w:val="4"/>
            <w:tcBorders>
              <w:top w:val="single" w:sz="4" w:space="0" w:color="auto"/>
              <w:left w:val="nil"/>
              <w:bottom w:val="nil"/>
              <w:right w:val="nil"/>
            </w:tcBorders>
            <w:shd w:val="clear" w:color="auto" w:fill="BFBFBF" w:themeFill="background1" w:themeFillShade="BF"/>
            <w:noWrap/>
            <w:vAlign w:val="bottom"/>
          </w:tcPr>
          <w:p w14:paraId="208E03C8" w14:textId="77777777" w:rsidR="00DD3B76" w:rsidRPr="0036109B" w:rsidRDefault="00DD3B76" w:rsidP="00B20E50">
            <w:pPr>
              <w:spacing w:after="0" w:line="240" w:lineRule="auto"/>
              <w:jc w:val="center"/>
              <w:rPr>
                <w:rFonts w:eastAsia="Times New Roman" w:cstheme="minorHAnsi"/>
                <w:b/>
                <w:bCs/>
                <w:color w:val="000000"/>
                <w:sz w:val="14"/>
                <w:szCs w:val="14"/>
                <w:lang w:eastAsia="nl-BE"/>
              </w:rPr>
            </w:pPr>
            <w:r w:rsidRPr="00FF4AA5">
              <w:rPr>
                <w:rFonts w:eastAsia="Times New Roman" w:cstheme="minorHAnsi"/>
                <w:b/>
                <w:bCs/>
                <w:color w:val="000000"/>
                <w:sz w:val="14"/>
                <w:szCs w:val="14"/>
                <w:lang w:val="de" w:eastAsia="nl-BE"/>
              </w:rPr>
              <w:t>Belgische Exporte</w:t>
            </w:r>
          </w:p>
        </w:tc>
        <w:tc>
          <w:tcPr>
            <w:tcW w:w="784" w:type="dxa"/>
            <w:tcBorders>
              <w:top w:val="single" w:sz="4" w:space="0" w:color="auto"/>
              <w:left w:val="single" w:sz="4" w:space="0" w:color="auto"/>
              <w:bottom w:val="nil"/>
              <w:right w:val="single" w:sz="4" w:space="0" w:color="auto"/>
            </w:tcBorders>
            <w:shd w:val="clear" w:color="auto" w:fill="BFBFBF" w:themeFill="background1" w:themeFillShade="BF"/>
            <w:noWrap/>
            <w:vAlign w:val="bottom"/>
          </w:tcPr>
          <w:p w14:paraId="0333CEFA" w14:textId="77777777" w:rsidR="00DD3B76" w:rsidRPr="0036109B" w:rsidRDefault="00DD3B76" w:rsidP="00B20E50">
            <w:pPr>
              <w:spacing w:after="0" w:line="240" w:lineRule="auto"/>
              <w:jc w:val="center"/>
              <w:rPr>
                <w:rFonts w:eastAsia="Times New Roman" w:cstheme="minorHAnsi"/>
                <w:b/>
                <w:bCs/>
                <w:color w:val="000000"/>
                <w:sz w:val="14"/>
                <w:szCs w:val="14"/>
                <w:lang w:eastAsia="nl-BE"/>
              </w:rPr>
            </w:pPr>
            <w:r w:rsidRPr="00FF4AA5">
              <w:rPr>
                <w:rFonts w:eastAsia="Times New Roman" w:cstheme="minorHAnsi"/>
                <w:b/>
                <w:bCs/>
                <w:color w:val="000000"/>
                <w:sz w:val="14"/>
                <w:szCs w:val="14"/>
                <w:lang w:val="de" w:eastAsia="nl-BE"/>
              </w:rPr>
              <w:t>Erfassungsbereich</w:t>
            </w:r>
          </w:p>
        </w:tc>
      </w:tr>
      <w:tr w:rsidR="00DD3B76" w14:paraId="62E28536" w14:textId="77777777" w:rsidTr="00B20E50">
        <w:tc>
          <w:tcPr>
            <w:tcW w:w="1838" w:type="dxa"/>
            <w:tcBorders>
              <w:top w:val="nil"/>
              <w:left w:val="single" w:sz="4" w:space="0" w:color="auto"/>
              <w:bottom w:val="nil"/>
              <w:right w:val="nil"/>
            </w:tcBorders>
            <w:shd w:val="clear" w:color="auto" w:fill="BFBFBF" w:themeFill="background1" w:themeFillShade="BF"/>
            <w:noWrap/>
            <w:vAlign w:val="bottom"/>
          </w:tcPr>
          <w:p w14:paraId="605C374B" w14:textId="77777777" w:rsidR="00DD3B76" w:rsidRPr="00FF4AA5" w:rsidRDefault="00DD3B76" w:rsidP="00B20E50">
            <w:pPr>
              <w:spacing w:after="0" w:line="240" w:lineRule="auto"/>
              <w:rPr>
                <w:rFonts w:eastAsia="Times New Roman" w:cstheme="minorHAnsi"/>
                <w:color w:val="000000"/>
                <w:sz w:val="14"/>
                <w:szCs w:val="14"/>
                <w:lang w:eastAsia="nl-BE"/>
              </w:rPr>
            </w:pPr>
          </w:p>
        </w:tc>
        <w:tc>
          <w:tcPr>
            <w:tcW w:w="805" w:type="dxa"/>
            <w:tcBorders>
              <w:top w:val="nil"/>
              <w:left w:val="single" w:sz="4" w:space="0" w:color="auto"/>
              <w:bottom w:val="nil"/>
              <w:right w:val="nil"/>
            </w:tcBorders>
            <w:shd w:val="clear" w:color="auto" w:fill="BFBFBF" w:themeFill="background1" w:themeFillShade="BF"/>
            <w:noWrap/>
            <w:vAlign w:val="bottom"/>
          </w:tcPr>
          <w:p w14:paraId="4CC2324E" w14:textId="77777777" w:rsidR="00DD3B76" w:rsidRPr="00FF4AA5" w:rsidRDefault="00DD3B76" w:rsidP="00B20E50">
            <w:pPr>
              <w:spacing w:after="0" w:line="240" w:lineRule="auto"/>
              <w:jc w:val="center"/>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Teil</w:t>
            </w:r>
          </w:p>
        </w:tc>
        <w:tc>
          <w:tcPr>
            <w:tcW w:w="896" w:type="dxa"/>
            <w:tcBorders>
              <w:top w:val="nil"/>
              <w:left w:val="nil"/>
              <w:bottom w:val="nil"/>
              <w:right w:val="nil"/>
            </w:tcBorders>
            <w:shd w:val="clear" w:color="auto" w:fill="BFBFBF" w:themeFill="background1" w:themeFillShade="BF"/>
            <w:noWrap/>
            <w:vAlign w:val="bottom"/>
          </w:tcPr>
          <w:p w14:paraId="5110B00E" w14:textId="77777777" w:rsidR="00DD3B76" w:rsidRPr="00FF4AA5" w:rsidRDefault="00DD3B76" w:rsidP="00B20E50">
            <w:pPr>
              <w:spacing w:after="0" w:line="240" w:lineRule="auto"/>
              <w:jc w:val="center"/>
              <w:rPr>
                <w:rFonts w:eastAsia="Times New Roman" w:cstheme="minorHAnsi"/>
                <w:color w:val="000000"/>
                <w:sz w:val="14"/>
                <w:szCs w:val="14"/>
                <w:lang w:eastAsia="nl-BE"/>
              </w:rPr>
            </w:pPr>
            <w:r w:rsidRPr="0036109B">
              <w:rPr>
                <w:rFonts w:eastAsia="Times New Roman" w:cstheme="minorHAnsi"/>
                <w:color w:val="000000"/>
                <w:sz w:val="14"/>
                <w:szCs w:val="14"/>
                <w:lang w:eastAsia="nl-BE"/>
              </w:rPr>
              <w:t> </w:t>
            </w:r>
          </w:p>
        </w:tc>
        <w:tc>
          <w:tcPr>
            <w:tcW w:w="992" w:type="dxa"/>
            <w:tcBorders>
              <w:top w:val="nil"/>
              <w:left w:val="nil"/>
              <w:bottom w:val="nil"/>
              <w:right w:val="nil"/>
            </w:tcBorders>
            <w:shd w:val="clear" w:color="auto" w:fill="BFBFBF" w:themeFill="background1" w:themeFillShade="BF"/>
            <w:noWrap/>
            <w:vAlign w:val="bottom"/>
          </w:tcPr>
          <w:p w14:paraId="083EDB23" w14:textId="77777777" w:rsidR="00DD3B76" w:rsidRPr="00FF4AA5" w:rsidRDefault="00DD3B76" w:rsidP="00B20E50">
            <w:pPr>
              <w:spacing w:after="0" w:line="240" w:lineRule="auto"/>
              <w:jc w:val="center"/>
              <w:rPr>
                <w:rFonts w:eastAsia="Times New Roman" w:cstheme="minorHAnsi"/>
                <w:color w:val="000000"/>
                <w:sz w:val="14"/>
                <w:szCs w:val="14"/>
                <w:lang w:eastAsia="nl-BE"/>
              </w:rPr>
            </w:pPr>
            <w:r w:rsidRPr="0036109B">
              <w:rPr>
                <w:rFonts w:eastAsia="Times New Roman" w:cstheme="minorHAnsi"/>
                <w:color w:val="000000"/>
                <w:sz w:val="14"/>
                <w:szCs w:val="14"/>
                <w:lang w:eastAsia="nl-BE"/>
              </w:rPr>
              <w:t> </w:t>
            </w:r>
          </w:p>
        </w:tc>
        <w:tc>
          <w:tcPr>
            <w:tcW w:w="735" w:type="dxa"/>
            <w:tcBorders>
              <w:top w:val="nil"/>
              <w:left w:val="nil"/>
              <w:bottom w:val="nil"/>
              <w:right w:val="single" w:sz="4" w:space="0" w:color="auto"/>
            </w:tcBorders>
            <w:shd w:val="clear" w:color="auto" w:fill="BFBFBF" w:themeFill="background1" w:themeFillShade="BF"/>
            <w:noWrap/>
            <w:vAlign w:val="bottom"/>
          </w:tcPr>
          <w:p w14:paraId="6E697D38" w14:textId="77777777" w:rsidR="00DD3B76" w:rsidRPr="00FF4AA5" w:rsidRDefault="00DD3B76" w:rsidP="00B20E50">
            <w:pPr>
              <w:spacing w:after="0" w:line="240" w:lineRule="auto"/>
              <w:jc w:val="center"/>
              <w:rPr>
                <w:rFonts w:eastAsia="Times New Roman" w:cstheme="minorHAnsi"/>
                <w:color w:val="000000"/>
                <w:sz w:val="14"/>
                <w:szCs w:val="14"/>
                <w:lang w:eastAsia="nl-BE"/>
              </w:rPr>
            </w:pPr>
            <w:r w:rsidRPr="0036109B">
              <w:rPr>
                <w:rFonts w:eastAsia="Times New Roman" w:cstheme="minorHAnsi"/>
                <w:color w:val="000000"/>
                <w:sz w:val="14"/>
                <w:szCs w:val="14"/>
                <w:lang w:eastAsia="nl-BE"/>
              </w:rPr>
              <w:t> </w:t>
            </w:r>
          </w:p>
        </w:tc>
        <w:tc>
          <w:tcPr>
            <w:tcW w:w="638" w:type="dxa"/>
            <w:tcBorders>
              <w:top w:val="nil"/>
              <w:left w:val="nil"/>
              <w:bottom w:val="nil"/>
              <w:right w:val="nil"/>
            </w:tcBorders>
            <w:shd w:val="clear" w:color="auto" w:fill="BFBFBF" w:themeFill="background1" w:themeFillShade="BF"/>
            <w:noWrap/>
            <w:vAlign w:val="bottom"/>
          </w:tcPr>
          <w:p w14:paraId="5FF5AD53" w14:textId="77777777" w:rsidR="00DD3B76" w:rsidRPr="00FF4AA5" w:rsidRDefault="00DD3B76" w:rsidP="00B20E50">
            <w:pPr>
              <w:spacing w:after="0" w:line="240" w:lineRule="auto"/>
              <w:jc w:val="center"/>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Teil</w:t>
            </w:r>
          </w:p>
        </w:tc>
        <w:tc>
          <w:tcPr>
            <w:tcW w:w="805" w:type="dxa"/>
            <w:tcBorders>
              <w:top w:val="nil"/>
              <w:left w:val="nil"/>
              <w:bottom w:val="nil"/>
              <w:right w:val="nil"/>
            </w:tcBorders>
            <w:shd w:val="clear" w:color="auto" w:fill="BFBFBF" w:themeFill="background1" w:themeFillShade="BF"/>
            <w:noWrap/>
            <w:vAlign w:val="bottom"/>
          </w:tcPr>
          <w:p w14:paraId="6F073D37" w14:textId="77777777" w:rsidR="00DD3B76" w:rsidRPr="00FF4AA5" w:rsidRDefault="00DD3B76" w:rsidP="00B20E50">
            <w:pPr>
              <w:spacing w:after="0" w:line="240" w:lineRule="auto"/>
              <w:jc w:val="center"/>
              <w:rPr>
                <w:rFonts w:eastAsia="Times New Roman" w:cstheme="minorHAnsi"/>
                <w:color w:val="000000"/>
                <w:sz w:val="14"/>
                <w:szCs w:val="14"/>
                <w:lang w:eastAsia="nl-BE"/>
              </w:rPr>
            </w:pPr>
            <w:r w:rsidRPr="0036109B">
              <w:rPr>
                <w:rFonts w:eastAsia="Times New Roman" w:cstheme="minorHAnsi"/>
                <w:color w:val="000000"/>
                <w:sz w:val="14"/>
                <w:szCs w:val="14"/>
                <w:lang w:eastAsia="nl-BE"/>
              </w:rPr>
              <w:t> </w:t>
            </w:r>
          </w:p>
        </w:tc>
        <w:tc>
          <w:tcPr>
            <w:tcW w:w="806" w:type="dxa"/>
            <w:tcBorders>
              <w:top w:val="nil"/>
              <w:left w:val="nil"/>
              <w:bottom w:val="nil"/>
              <w:right w:val="nil"/>
            </w:tcBorders>
            <w:shd w:val="clear" w:color="auto" w:fill="BFBFBF" w:themeFill="background1" w:themeFillShade="BF"/>
            <w:noWrap/>
            <w:vAlign w:val="bottom"/>
          </w:tcPr>
          <w:p w14:paraId="03C44EAF" w14:textId="77777777" w:rsidR="00DD3B76" w:rsidRPr="00FF4AA5" w:rsidRDefault="00DD3B76" w:rsidP="00B20E50">
            <w:pPr>
              <w:spacing w:after="0" w:line="240" w:lineRule="auto"/>
              <w:jc w:val="center"/>
              <w:rPr>
                <w:rFonts w:eastAsia="Times New Roman" w:cstheme="minorHAnsi"/>
                <w:color w:val="000000"/>
                <w:sz w:val="14"/>
                <w:szCs w:val="14"/>
                <w:lang w:eastAsia="nl-BE"/>
              </w:rPr>
            </w:pPr>
            <w:r w:rsidRPr="0036109B">
              <w:rPr>
                <w:rFonts w:eastAsia="Times New Roman" w:cstheme="minorHAnsi"/>
                <w:color w:val="000000"/>
                <w:sz w:val="14"/>
                <w:szCs w:val="14"/>
                <w:lang w:eastAsia="nl-BE"/>
              </w:rPr>
              <w:t> </w:t>
            </w:r>
          </w:p>
        </w:tc>
        <w:tc>
          <w:tcPr>
            <w:tcW w:w="806" w:type="dxa"/>
            <w:tcBorders>
              <w:top w:val="nil"/>
              <w:left w:val="nil"/>
              <w:bottom w:val="nil"/>
              <w:right w:val="nil"/>
            </w:tcBorders>
            <w:shd w:val="clear" w:color="auto" w:fill="BFBFBF" w:themeFill="background1" w:themeFillShade="BF"/>
            <w:noWrap/>
            <w:vAlign w:val="bottom"/>
          </w:tcPr>
          <w:p w14:paraId="1D0B520A" w14:textId="77777777" w:rsidR="00DD3B76" w:rsidRPr="00FF4AA5" w:rsidRDefault="00DD3B76" w:rsidP="00B20E50">
            <w:pPr>
              <w:spacing w:after="0" w:line="240" w:lineRule="auto"/>
              <w:jc w:val="center"/>
              <w:rPr>
                <w:rFonts w:eastAsia="Times New Roman" w:cstheme="minorHAnsi"/>
                <w:color w:val="000000"/>
                <w:sz w:val="14"/>
                <w:szCs w:val="14"/>
                <w:lang w:eastAsia="nl-BE"/>
              </w:rPr>
            </w:pPr>
            <w:r w:rsidRPr="0036109B">
              <w:rPr>
                <w:rFonts w:eastAsia="Times New Roman" w:cstheme="minorHAnsi"/>
                <w:color w:val="000000"/>
                <w:sz w:val="14"/>
                <w:szCs w:val="14"/>
                <w:lang w:eastAsia="nl-BE"/>
              </w:rPr>
              <w:t> </w:t>
            </w:r>
          </w:p>
        </w:tc>
        <w:tc>
          <w:tcPr>
            <w:tcW w:w="784" w:type="dxa"/>
            <w:tcBorders>
              <w:top w:val="nil"/>
              <w:left w:val="single" w:sz="4" w:space="0" w:color="auto"/>
              <w:bottom w:val="nil"/>
              <w:right w:val="single" w:sz="4" w:space="0" w:color="auto"/>
            </w:tcBorders>
            <w:shd w:val="clear" w:color="auto" w:fill="BFBFBF" w:themeFill="background1" w:themeFillShade="BF"/>
            <w:noWrap/>
            <w:vAlign w:val="bottom"/>
          </w:tcPr>
          <w:p w14:paraId="56570187" w14:textId="77777777" w:rsidR="00DD3B76" w:rsidRPr="00FF4AA5" w:rsidRDefault="00DD3B76" w:rsidP="00B20E50">
            <w:pPr>
              <w:spacing w:after="0" w:line="240" w:lineRule="auto"/>
              <w:jc w:val="center"/>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Prozent</w:t>
            </w:r>
          </w:p>
        </w:tc>
      </w:tr>
      <w:tr w:rsidR="00DD3B76" w14:paraId="389340AD" w14:textId="77777777" w:rsidTr="00B20E50">
        <w:tc>
          <w:tcPr>
            <w:tcW w:w="1838" w:type="dxa"/>
            <w:tcBorders>
              <w:top w:val="nil"/>
              <w:left w:val="single" w:sz="4" w:space="0" w:color="auto"/>
              <w:bottom w:val="nil"/>
              <w:right w:val="nil"/>
            </w:tcBorders>
            <w:shd w:val="clear" w:color="auto" w:fill="BFBFBF" w:themeFill="background1" w:themeFillShade="BF"/>
            <w:noWrap/>
            <w:vAlign w:val="bottom"/>
            <w:hideMark/>
          </w:tcPr>
          <w:p w14:paraId="271D5B69" w14:textId="77777777" w:rsidR="00DD3B76" w:rsidRPr="0036109B" w:rsidRDefault="00DD3B76" w:rsidP="00B20E50">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eastAsia="nl-BE"/>
              </w:rPr>
              <w:t> </w:t>
            </w:r>
          </w:p>
        </w:tc>
        <w:tc>
          <w:tcPr>
            <w:tcW w:w="805" w:type="dxa"/>
            <w:tcBorders>
              <w:top w:val="nil"/>
              <w:left w:val="single" w:sz="4" w:space="0" w:color="auto"/>
              <w:bottom w:val="nil"/>
              <w:right w:val="nil"/>
            </w:tcBorders>
            <w:shd w:val="clear" w:color="auto" w:fill="BFBFBF" w:themeFill="background1" w:themeFillShade="BF"/>
            <w:noWrap/>
            <w:vAlign w:val="bottom"/>
            <w:hideMark/>
          </w:tcPr>
          <w:p w14:paraId="2C48891D" w14:textId="77777777" w:rsidR="00DD3B76" w:rsidRPr="0036109B" w:rsidRDefault="00DD3B76" w:rsidP="00B20E50">
            <w:pPr>
              <w:spacing w:after="0" w:line="240" w:lineRule="auto"/>
              <w:jc w:val="center"/>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6 M 2024</w:t>
            </w:r>
          </w:p>
        </w:tc>
        <w:tc>
          <w:tcPr>
            <w:tcW w:w="896" w:type="dxa"/>
            <w:tcBorders>
              <w:top w:val="nil"/>
              <w:left w:val="nil"/>
              <w:bottom w:val="nil"/>
              <w:right w:val="nil"/>
            </w:tcBorders>
            <w:shd w:val="clear" w:color="auto" w:fill="BFBFBF" w:themeFill="background1" w:themeFillShade="BF"/>
            <w:noWrap/>
            <w:vAlign w:val="bottom"/>
            <w:hideMark/>
          </w:tcPr>
          <w:p w14:paraId="75C0D953" w14:textId="77777777" w:rsidR="00DD3B76" w:rsidRPr="0036109B" w:rsidRDefault="00DD3B76" w:rsidP="00B20E50">
            <w:pPr>
              <w:spacing w:after="0" w:line="240" w:lineRule="auto"/>
              <w:jc w:val="center"/>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6 M 2023</w:t>
            </w:r>
          </w:p>
        </w:tc>
        <w:tc>
          <w:tcPr>
            <w:tcW w:w="992" w:type="dxa"/>
            <w:tcBorders>
              <w:top w:val="nil"/>
              <w:left w:val="nil"/>
              <w:bottom w:val="nil"/>
              <w:right w:val="nil"/>
            </w:tcBorders>
            <w:shd w:val="clear" w:color="auto" w:fill="BFBFBF" w:themeFill="background1" w:themeFillShade="BF"/>
            <w:noWrap/>
            <w:vAlign w:val="bottom"/>
            <w:hideMark/>
          </w:tcPr>
          <w:p w14:paraId="025E4369" w14:textId="77777777" w:rsidR="00DD3B76" w:rsidRPr="0036109B" w:rsidRDefault="00DD3B76" w:rsidP="00B20E50">
            <w:pPr>
              <w:spacing w:after="0" w:line="240" w:lineRule="auto"/>
              <w:jc w:val="center"/>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6 M 2024</w:t>
            </w:r>
          </w:p>
        </w:tc>
        <w:tc>
          <w:tcPr>
            <w:tcW w:w="735" w:type="dxa"/>
            <w:tcBorders>
              <w:top w:val="nil"/>
              <w:left w:val="nil"/>
              <w:bottom w:val="nil"/>
              <w:right w:val="single" w:sz="4" w:space="0" w:color="auto"/>
            </w:tcBorders>
            <w:shd w:val="clear" w:color="auto" w:fill="BFBFBF" w:themeFill="background1" w:themeFillShade="BF"/>
            <w:noWrap/>
            <w:vAlign w:val="bottom"/>
            <w:hideMark/>
          </w:tcPr>
          <w:p w14:paraId="754CC92A" w14:textId="77777777" w:rsidR="00DD3B76" w:rsidRPr="0036109B" w:rsidRDefault="00DD3B76" w:rsidP="00B20E50">
            <w:pPr>
              <w:spacing w:after="0" w:line="240" w:lineRule="auto"/>
              <w:jc w:val="center"/>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6 M</w:t>
            </w:r>
          </w:p>
        </w:tc>
        <w:tc>
          <w:tcPr>
            <w:tcW w:w="638" w:type="dxa"/>
            <w:tcBorders>
              <w:top w:val="nil"/>
              <w:left w:val="nil"/>
              <w:bottom w:val="nil"/>
              <w:right w:val="nil"/>
            </w:tcBorders>
            <w:shd w:val="clear" w:color="auto" w:fill="BFBFBF" w:themeFill="background1" w:themeFillShade="BF"/>
            <w:noWrap/>
            <w:vAlign w:val="bottom"/>
            <w:hideMark/>
          </w:tcPr>
          <w:p w14:paraId="1DCE4F0B" w14:textId="77777777" w:rsidR="00DD3B76" w:rsidRPr="0036109B" w:rsidRDefault="00DD3B76" w:rsidP="00B20E50">
            <w:pPr>
              <w:spacing w:after="0" w:line="240" w:lineRule="auto"/>
              <w:jc w:val="center"/>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6 M 2024</w:t>
            </w:r>
          </w:p>
        </w:tc>
        <w:tc>
          <w:tcPr>
            <w:tcW w:w="805" w:type="dxa"/>
            <w:tcBorders>
              <w:top w:val="nil"/>
              <w:left w:val="nil"/>
              <w:bottom w:val="nil"/>
              <w:right w:val="nil"/>
            </w:tcBorders>
            <w:shd w:val="clear" w:color="auto" w:fill="BFBFBF" w:themeFill="background1" w:themeFillShade="BF"/>
            <w:noWrap/>
            <w:vAlign w:val="bottom"/>
            <w:hideMark/>
          </w:tcPr>
          <w:p w14:paraId="0EBB0A14" w14:textId="77777777" w:rsidR="00DD3B76" w:rsidRPr="0036109B" w:rsidRDefault="00DD3B76" w:rsidP="00B20E50">
            <w:pPr>
              <w:spacing w:after="0" w:line="240" w:lineRule="auto"/>
              <w:jc w:val="center"/>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6 M 2023</w:t>
            </w:r>
          </w:p>
        </w:tc>
        <w:tc>
          <w:tcPr>
            <w:tcW w:w="806" w:type="dxa"/>
            <w:tcBorders>
              <w:top w:val="nil"/>
              <w:left w:val="nil"/>
              <w:bottom w:val="nil"/>
              <w:right w:val="nil"/>
            </w:tcBorders>
            <w:shd w:val="clear" w:color="auto" w:fill="BFBFBF" w:themeFill="background1" w:themeFillShade="BF"/>
            <w:noWrap/>
            <w:vAlign w:val="bottom"/>
            <w:hideMark/>
          </w:tcPr>
          <w:p w14:paraId="387E53C5" w14:textId="77777777" w:rsidR="00DD3B76" w:rsidRPr="0036109B" w:rsidRDefault="00DD3B76" w:rsidP="00B20E50">
            <w:pPr>
              <w:spacing w:after="0" w:line="240" w:lineRule="auto"/>
              <w:jc w:val="center"/>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6 M 2024</w:t>
            </w:r>
          </w:p>
        </w:tc>
        <w:tc>
          <w:tcPr>
            <w:tcW w:w="806" w:type="dxa"/>
            <w:tcBorders>
              <w:top w:val="nil"/>
              <w:left w:val="nil"/>
              <w:bottom w:val="nil"/>
              <w:right w:val="single" w:sz="4" w:space="0" w:color="auto"/>
            </w:tcBorders>
            <w:shd w:val="clear" w:color="auto" w:fill="BFBFBF" w:themeFill="background1" w:themeFillShade="BF"/>
            <w:noWrap/>
            <w:vAlign w:val="bottom"/>
            <w:hideMark/>
          </w:tcPr>
          <w:p w14:paraId="61607060" w14:textId="77777777" w:rsidR="00DD3B76" w:rsidRPr="0036109B" w:rsidRDefault="00DD3B76" w:rsidP="00B20E50">
            <w:pPr>
              <w:spacing w:after="0" w:line="240" w:lineRule="auto"/>
              <w:jc w:val="center"/>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6 M</w:t>
            </w:r>
          </w:p>
        </w:tc>
        <w:tc>
          <w:tcPr>
            <w:tcW w:w="784" w:type="dxa"/>
            <w:tcBorders>
              <w:top w:val="nil"/>
              <w:left w:val="nil"/>
              <w:bottom w:val="nil"/>
              <w:right w:val="single" w:sz="4" w:space="0" w:color="auto"/>
            </w:tcBorders>
            <w:shd w:val="clear" w:color="auto" w:fill="BFBFBF" w:themeFill="background1" w:themeFillShade="BF"/>
            <w:noWrap/>
            <w:vAlign w:val="bottom"/>
            <w:hideMark/>
          </w:tcPr>
          <w:p w14:paraId="4BC3FB79" w14:textId="77777777" w:rsidR="00DD3B76" w:rsidRPr="0036109B" w:rsidRDefault="00DD3B76" w:rsidP="00B20E50">
            <w:pPr>
              <w:spacing w:after="0" w:line="240" w:lineRule="auto"/>
              <w:jc w:val="center"/>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6 M 2024</w:t>
            </w:r>
          </w:p>
        </w:tc>
      </w:tr>
      <w:tr w:rsidR="00DD3B76" w14:paraId="74374DC5" w14:textId="77777777" w:rsidTr="00B20E50">
        <w:tc>
          <w:tcPr>
            <w:tcW w:w="1838" w:type="dxa"/>
            <w:tcBorders>
              <w:top w:val="nil"/>
              <w:left w:val="single" w:sz="4" w:space="0" w:color="auto"/>
              <w:bottom w:val="single" w:sz="4" w:space="0" w:color="auto"/>
              <w:right w:val="nil"/>
            </w:tcBorders>
            <w:shd w:val="clear" w:color="auto" w:fill="BFBFBF" w:themeFill="background1" w:themeFillShade="BF"/>
            <w:noWrap/>
            <w:vAlign w:val="bottom"/>
            <w:hideMark/>
          </w:tcPr>
          <w:p w14:paraId="04250006" w14:textId="77777777" w:rsidR="00DD3B76" w:rsidRPr="0036109B" w:rsidRDefault="00DD3B76" w:rsidP="00B20E50">
            <w:pPr>
              <w:spacing w:after="0" w:line="240" w:lineRule="auto"/>
              <w:rPr>
                <w:rFonts w:eastAsia="Times New Roman" w:cstheme="minorHAnsi"/>
                <w:b/>
                <w:bCs/>
                <w:color w:val="000000"/>
                <w:sz w:val="14"/>
                <w:szCs w:val="14"/>
                <w:lang w:eastAsia="nl-BE"/>
              </w:rPr>
            </w:pPr>
            <w:r w:rsidRPr="0036109B">
              <w:rPr>
                <w:rFonts w:eastAsia="Times New Roman" w:cstheme="minorHAnsi"/>
                <w:b/>
                <w:bCs/>
                <w:color w:val="000000"/>
                <w:sz w:val="14"/>
                <w:szCs w:val="14"/>
                <w:lang w:eastAsia="nl-BE"/>
              </w:rPr>
              <w:t> </w:t>
            </w:r>
          </w:p>
        </w:tc>
        <w:tc>
          <w:tcPr>
            <w:tcW w:w="805" w:type="dxa"/>
            <w:tcBorders>
              <w:top w:val="nil"/>
              <w:left w:val="single" w:sz="4" w:space="0" w:color="auto"/>
              <w:bottom w:val="nil"/>
              <w:right w:val="nil"/>
            </w:tcBorders>
            <w:shd w:val="clear" w:color="auto" w:fill="BFBFBF" w:themeFill="background1" w:themeFillShade="BF"/>
            <w:noWrap/>
            <w:vAlign w:val="bottom"/>
            <w:hideMark/>
          </w:tcPr>
          <w:p w14:paraId="1A7E8B1F" w14:textId="77777777" w:rsidR="00DD3B76" w:rsidRPr="0036109B" w:rsidRDefault="00DD3B76" w:rsidP="00B20E50">
            <w:pPr>
              <w:spacing w:after="0" w:line="240" w:lineRule="auto"/>
              <w:jc w:val="center"/>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in %</w:t>
            </w:r>
          </w:p>
        </w:tc>
        <w:tc>
          <w:tcPr>
            <w:tcW w:w="896" w:type="dxa"/>
            <w:tcBorders>
              <w:top w:val="nil"/>
              <w:left w:val="nil"/>
              <w:bottom w:val="nil"/>
              <w:right w:val="nil"/>
            </w:tcBorders>
            <w:shd w:val="clear" w:color="auto" w:fill="BFBFBF" w:themeFill="background1" w:themeFillShade="BF"/>
            <w:noWrap/>
            <w:vAlign w:val="bottom"/>
            <w:hideMark/>
          </w:tcPr>
          <w:p w14:paraId="03ABECCC" w14:textId="77777777" w:rsidR="00DD3B76" w:rsidRPr="0036109B" w:rsidRDefault="00DD3B76" w:rsidP="00B20E50">
            <w:pPr>
              <w:spacing w:after="0" w:line="240" w:lineRule="auto"/>
              <w:jc w:val="center"/>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1000 EUR</w:t>
            </w:r>
          </w:p>
        </w:tc>
        <w:tc>
          <w:tcPr>
            <w:tcW w:w="992" w:type="dxa"/>
            <w:tcBorders>
              <w:top w:val="nil"/>
              <w:left w:val="nil"/>
              <w:bottom w:val="nil"/>
              <w:right w:val="nil"/>
            </w:tcBorders>
            <w:shd w:val="clear" w:color="auto" w:fill="BFBFBF" w:themeFill="background1" w:themeFillShade="BF"/>
            <w:noWrap/>
            <w:vAlign w:val="bottom"/>
            <w:hideMark/>
          </w:tcPr>
          <w:p w14:paraId="75A7FAFD" w14:textId="77777777" w:rsidR="00DD3B76" w:rsidRPr="0036109B" w:rsidRDefault="00DD3B76" w:rsidP="00B20E50">
            <w:pPr>
              <w:spacing w:after="0" w:line="240" w:lineRule="auto"/>
              <w:jc w:val="center"/>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1000 EUR</w:t>
            </w:r>
          </w:p>
        </w:tc>
        <w:tc>
          <w:tcPr>
            <w:tcW w:w="735" w:type="dxa"/>
            <w:tcBorders>
              <w:top w:val="nil"/>
              <w:left w:val="nil"/>
              <w:bottom w:val="nil"/>
              <w:right w:val="nil"/>
            </w:tcBorders>
            <w:shd w:val="clear" w:color="auto" w:fill="BFBFBF" w:themeFill="background1" w:themeFillShade="BF"/>
            <w:noWrap/>
            <w:vAlign w:val="bottom"/>
            <w:hideMark/>
          </w:tcPr>
          <w:p w14:paraId="4854B48B" w14:textId="77777777" w:rsidR="00DD3B76" w:rsidRPr="0036109B" w:rsidRDefault="00DD3B76" w:rsidP="00B20E50">
            <w:pPr>
              <w:spacing w:after="0" w:line="240" w:lineRule="auto"/>
              <w:jc w:val="center"/>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24/23</w:t>
            </w:r>
          </w:p>
        </w:tc>
        <w:tc>
          <w:tcPr>
            <w:tcW w:w="638" w:type="dxa"/>
            <w:tcBorders>
              <w:top w:val="nil"/>
              <w:left w:val="single" w:sz="4" w:space="0" w:color="auto"/>
              <w:bottom w:val="nil"/>
              <w:right w:val="nil"/>
            </w:tcBorders>
            <w:shd w:val="clear" w:color="auto" w:fill="BFBFBF" w:themeFill="background1" w:themeFillShade="BF"/>
            <w:noWrap/>
            <w:vAlign w:val="bottom"/>
            <w:hideMark/>
          </w:tcPr>
          <w:p w14:paraId="749F236A" w14:textId="77777777" w:rsidR="00DD3B76" w:rsidRPr="0036109B" w:rsidRDefault="00DD3B76" w:rsidP="00B20E50">
            <w:pPr>
              <w:spacing w:after="0" w:line="240" w:lineRule="auto"/>
              <w:jc w:val="center"/>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in %</w:t>
            </w:r>
          </w:p>
        </w:tc>
        <w:tc>
          <w:tcPr>
            <w:tcW w:w="805" w:type="dxa"/>
            <w:tcBorders>
              <w:top w:val="nil"/>
              <w:left w:val="nil"/>
              <w:bottom w:val="nil"/>
              <w:right w:val="nil"/>
            </w:tcBorders>
            <w:shd w:val="clear" w:color="auto" w:fill="BFBFBF" w:themeFill="background1" w:themeFillShade="BF"/>
            <w:noWrap/>
            <w:vAlign w:val="bottom"/>
            <w:hideMark/>
          </w:tcPr>
          <w:p w14:paraId="181EA16E" w14:textId="77777777" w:rsidR="00DD3B76" w:rsidRPr="0036109B" w:rsidRDefault="00DD3B76" w:rsidP="00B20E50">
            <w:pPr>
              <w:spacing w:after="0" w:line="240" w:lineRule="auto"/>
              <w:jc w:val="center"/>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1000 EUR</w:t>
            </w:r>
          </w:p>
        </w:tc>
        <w:tc>
          <w:tcPr>
            <w:tcW w:w="806" w:type="dxa"/>
            <w:tcBorders>
              <w:top w:val="nil"/>
              <w:left w:val="nil"/>
              <w:bottom w:val="nil"/>
              <w:right w:val="nil"/>
            </w:tcBorders>
            <w:shd w:val="clear" w:color="auto" w:fill="BFBFBF" w:themeFill="background1" w:themeFillShade="BF"/>
            <w:noWrap/>
            <w:vAlign w:val="bottom"/>
            <w:hideMark/>
          </w:tcPr>
          <w:p w14:paraId="6A23BF9E" w14:textId="77777777" w:rsidR="00DD3B76" w:rsidRPr="0036109B" w:rsidRDefault="00DD3B76" w:rsidP="00B20E50">
            <w:pPr>
              <w:spacing w:after="0" w:line="240" w:lineRule="auto"/>
              <w:jc w:val="center"/>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1000 EUR</w:t>
            </w:r>
          </w:p>
        </w:tc>
        <w:tc>
          <w:tcPr>
            <w:tcW w:w="806" w:type="dxa"/>
            <w:tcBorders>
              <w:top w:val="nil"/>
              <w:left w:val="nil"/>
              <w:bottom w:val="nil"/>
              <w:right w:val="nil"/>
            </w:tcBorders>
            <w:shd w:val="clear" w:color="auto" w:fill="BFBFBF" w:themeFill="background1" w:themeFillShade="BF"/>
            <w:noWrap/>
            <w:vAlign w:val="bottom"/>
            <w:hideMark/>
          </w:tcPr>
          <w:p w14:paraId="787AF540" w14:textId="77777777" w:rsidR="00DD3B76" w:rsidRPr="0036109B" w:rsidRDefault="00DD3B76" w:rsidP="00B20E50">
            <w:pPr>
              <w:spacing w:after="0" w:line="240" w:lineRule="auto"/>
              <w:jc w:val="center"/>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24/23</w:t>
            </w:r>
          </w:p>
        </w:tc>
        <w:tc>
          <w:tcPr>
            <w:tcW w:w="784"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201F84D3" w14:textId="77777777" w:rsidR="00DD3B76" w:rsidRPr="0036109B" w:rsidRDefault="00DD3B76" w:rsidP="00B20E50">
            <w:pPr>
              <w:spacing w:after="0" w:line="240" w:lineRule="auto"/>
              <w:jc w:val="center"/>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w:t>
            </w:r>
            <w:proofErr w:type="spellStart"/>
            <w:r w:rsidRPr="0036109B">
              <w:rPr>
                <w:rFonts w:eastAsia="Times New Roman" w:cstheme="minorHAnsi"/>
                <w:color w:val="000000"/>
                <w:sz w:val="14"/>
                <w:szCs w:val="14"/>
                <w:lang w:val="de" w:eastAsia="nl-BE"/>
              </w:rPr>
              <w:t>Exp</w:t>
            </w:r>
            <w:proofErr w:type="spellEnd"/>
            <w:r w:rsidRPr="0036109B">
              <w:rPr>
                <w:rFonts w:eastAsia="Times New Roman" w:cstheme="minorHAnsi"/>
                <w:color w:val="000000"/>
                <w:sz w:val="14"/>
                <w:szCs w:val="14"/>
                <w:lang w:val="de" w:eastAsia="nl-BE"/>
              </w:rPr>
              <w:t>/</w:t>
            </w:r>
            <w:proofErr w:type="spellStart"/>
            <w:r w:rsidRPr="0036109B">
              <w:rPr>
                <w:rFonts w:eastAsia="Times New Roman" w:cstheme="minorHAnsi"/>
                <w:color w:val="000000"/>
                <w:sz w:val="14"/>
                <w:szCs w:val="14"/>
                <w:lang w:val="de" w:eastAsia="nl-BE"/>
              </w:rPr>
              <w:t>imp</w:t>
            </w:r>
            <w:proofErr w:type="spellEnd"/>
            <w:r w:rsidRPr="0036109B">
              <w:rPr>
                <w:rFonts w:eastAsia="Times New Roman" w:cstheme="minorHAnsi"/>
                <w:color w:val="000000"/>
                <w:sz w:val="14"/>
                <w:szCs w:val="14"/>
                <w:lang w:val="de" w:eastAsia="nl-BE"/>
              </w:rPr>
              <w:t>)</w:t>
            </w:r>
          </w:p>
        </w:tc>
      </w:tr>
      <w:tr w:rsidR="00DD3B76" w14:paraId="5598FFA3" w14:textId="77777777" w:rsidTr="00B20E50">
        <w:tc>
          <w:tcPr>
            <w:tcW w:w="1838" w:type="dxa"/>
            <w:tcBorders>
              <w:top w:val="nil"/>
              <w:left w:val="single" w:sz="4" w:space="0" w:color="auto"/>
              <w:bottom w:val="single" w:sz="4" w:space="0" w:color="auto"/>
              <w:right w:val="nil"/>
            </w:tcBorders>
            <w:shd w:val="clear" w:color="auto" w:fill="D9D9D9" w:themeFill="background1" w:themeFillShade="D9"/>
            <w:vAlign w:val="bottom"/>
            <w:hideMark/>
          </w:tcPr>
          <w:p w14:paraId="08AF6479" w14:textId="77777777" w:rsidR="00DD3B76" w:rsidRPr="0036109B" w:rsidRDefault="00DD3B76" w:rsidP="00B20E50">
            <w:pPr>
              <w:spacing w:after="0" w:line="240" w:lineRule="auto"/>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Europäische Union</w:t>
            </w:r>
          </w:p>
        </w:tc>
        <w:tc>
          <w:tcPr>
            <w:tcW w:w="805"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4BAE2AA2"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58,2</w:t>
            </w:r>
          </w:p>
        </w:tc>
        <w:tc>
          <w:tcPr>
            <w:tcW w:w="896" w:type="dxa"/>
            <w:tcBorders>
              <w:top w:val="single" w:sz="4" w:space="0" w:color="auto"/>
              <w:left w:val="nil"/>
              <w:bottom w:val="single" w:sz="4" w:space="0" w:color="auto"/>
              <w:right w:val="nil"/>
            </w:tcBorders>
            <w:shd w:val="clear" w:color="auto" w:fill="D9D9D9" w:themeFill="background1" w:themeFillShade="D9"/>
            <w:vAlign w:val="bottom"/>
            <w:hideMark/>
          </w:tcPr>
          <w:p w14:paraId="73A656ED"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759.175,6</w:t>
            </w:r>
          </w:p>
        </w:tc>
        <w:tc>
          <w:tcPr>
            <w:tcW w:w="992" w:type="dxa"/>
            <w:tcBorders>
              <w:top w:val="single" w:sz="4" w:space="0" w:color="auto"/>
              <w:left w:val="nil"/>
              <w:bottom w:val="single" w:sz="4" w:space="0" w:color="auto"/>
              <w:right w:val="nil"/>
            </w:tcBorders>
            <w:shd w:val="clear" w:color="auto" w:fill="D9D9D9" w:themeFill="background1" w:themeFillShade="D9"/>
            <w:vAlign w:val="bottom"/>
            <w:hideMark/>
          </w:tcPr>
          <w:p w14:paraId="4F61A647"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718.148,7</w:t>
            </w:r>
          </w:p>
        </w:tc>
        <w:tc>
          <w:tcPr>
            <w:tcW w:w="735" w:type="dxa"/>
            <w:tcBorders>
              <w:top w:val="single" w:sz="4" w:space="0" w:color="auto"/>
              <w:left w:val="nil"/>
              <w:bottom w:val="single" w:sz="4" w:space="0" w:color="auto"/>
              <w:right w:val="nil"/>
            </w:tcBorders>
            <w:shd w:val="clear" w:color="auto" w:fill="D9D9D9" w:themeFill="background1" w:themeFillShade="D9"/>
            <w:noWrap/>
            <w:vAlign w:val="bottom"/>
            <w:hideMark/>
          </w:tcPr>
          <w:p w14:paraId="7034C616"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-5,4</w:t>
            </w:r>
          </w:p>
        </w:tc>
        <w:tc>
          <w:tcPr>
            <w:tcW w:w="638"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33A02118"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87,4</w:t>
            </w:r>
          </w:p>
        </w:tc>
        <w:tc>
          <w:tcPr>
            <w:tcW w:w="805" w:type="dxa"/>
            <w:tcBorders>
              <w:top w:val="single" w:sz="4" w:space="0" w:color="auto"/>
              <w:left w:val="nil"/>
              <w:bottom w:val="single" w:sz="4" w:space="0" w:color="auto"/>
              <w:right w:val="nil"/>
            </w:tcBorders>
            <w:shd w:val="clear" w:color="auto" w:fill="D9D9D9" w:themeFill="background1" w:themeFillShade="D9"/>
            <w:vAlign w:val="bottom"/>
            <w:hideMark/>
          </w:tcPr>
          <w:p w14:paraId="21226D2A"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719.148,7</w:t>
            </w:r>
          </w:p>
        </w:tc>
        <w:tc>
          <w:tcPr>
            <w:tcW w:w="806" w:type="dxa"/>
            <w:tcBorders>
              <w:top w:val="single" w:sz="4" w:space="0" w:color="auto"/>
              <w:left w:val="nil"/>
              <w:bottom w:val="single" w:sz="4" w:space="0" w:color="auto"/>
              <w:right w:val="nil"/>
            </w:tcBorders>
            <w:shd w:val="clear" w:color="auto" w:fill="D9D9D9" w:themeFill="background1" w:themeFillShade="D9"/>
            <w:vAlign w:val="bottom"/>
            <w:hideMark/>
          </w:tcPr>
          <w:p w14:paraId="40C296C2"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705.648,8</w:t>
            </w:r>
          </w:p>
        </w:tc>
        <w:tc>
          <w:tcPr>
            <w:tcW w:w="80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41E7AA7"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-1,9</w:t>
            </w:r>
          </w:p>
        </w:tc>
        <w:tc>
          <w:tcPr>
            <w:tcW w:w="784" w:type="dxa"/>
            <w:tcBorders>
              <w:top w:val="nil"/>
              <w:left w:val="nil"/>
              <w:bottom w:val="single" w:sz="4" w:space="0" w:color="auto"/>
              <w:right w:val="single" w:sz="4" w:space="0" w:color="auto"/>
            </w:tcBorders>
            <w:shd w:val="clear" w:color="auto" w:fill="D9D9D9" w:themeFill="background1" w:themeFillShade="D9"/>
            <w:noWrap/>
            <w:vAlign w:val="bottom"/>
            <w:hideMark/>
          </w:tcPr>
          <w:p w14:paraId="20541AE8"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98,3</w:t>
            </w:r>
          </w:p>
        </w:tc>
      </w:tr>
      <w:tr w:rsidR="00DD3B76" w14:paraId="6604632F" w14:textId="77777777" w:rsidTr="00B20E50">
        <w:tc>
          <w:tcPr>
            <w:tcW w:w="1838" w:type="dxa"/>
            <w:tcBorders>
              <w:top w:val="nil"/>
              <w:left w:val="single" w:sz="4" w:space="0" w:color="auto"/>
              <w:bottom w:val="single" w:sz="4" w:space="0" w:color="FFFFFF" w:themeColor="background1"/>
              <w:right w:val="nil"/>
            </w:tcBorders>
            <w:shd w:val="clear" w:color="auto" w:fill="auto"/>
            <w:vAlign w:val="bottom"/>
            <w:hideMark/>
          </w:tcPr>
          <w:p w14:paraId="6993E362" w14:textId="77777777" w:rsidR="00DD3B76" w:rsidRPr="0036109B" w:rsidRDefault="00DD3B76" w:rsidP="00B20E50">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Frankreich</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69871844"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5,6</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7EBAD798"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74.355,3</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60EDDBD3"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68.951,3</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2017265D"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-7,3</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327892A"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29,7</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EC5DFC3"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275.969,1</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825E49A"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240.053,1</w:t>
            </w:r>
          </w:p>
        </w:tc>
        <w:tc>
          <w:tcPr>
            <w:tcW w:w="806" w:type="dxa"/>
            <w:tcBorders>
              <w:top w:val="nil"/>
              <w:left w:val="nil"/>
              <w:bottom w:val="single" w:sz="4" w:space="0" w:color="FFFFFF" w:themeColor="background1"/>
              <w:right w:val="nil"/>
            </w:tcBorders>
            <w:shd w:val="clear" w:color="auto" w:fill="auto"/>
            <w:noWrap/>
            <w:vAlign w:val="bottom"/>
            <w:hideMark/>
          </w:tcPr>
          <w:p w14:paraId="40BFBA97"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-13,0</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16661A1C"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348,1</w:t>
            </w:r>
          </w:p>
        </w:tc>
      </w:tr>
      <w:tr w:rsidR="00DD3B76" w14:paraId="3DD7DB34" w14:textId="77777777" w:rsidTr="00B20E50">
        <w:tc>
          <w:tcPr>
            <w:tcW w:w="1838" w:type="dxa"/>
            <w:tcBorders>
              <w:top w:val="nil"/>
              <w:left w:val="single" w:sz="4" w:space="0" w:color="auto"/>
              <w:bottom w:val="single" w:sz="4" w:space="0" w:color="FFFFFF" w:themeColor="background1"/>
              <w:right w:val="nil"/>
            </w:tcBorders>
            <w:shd w:val="clear" w:color="auto" w:fill="auto"/>
            <w:vAlign w:val="bottom"/>
            <w:hideMark/>
          </w:tcPr>
          <w:p w14:paraId="515DF90F" w14:textId="77777777" w:rsidR="00DD3B76" w:rsidRPr="0036109B" w:rsidRDefault="00DD3B76" w:rsidP="00B20E50">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Niederlande</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1D289F60"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14,3</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3A76E112"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200.470,1</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7DA5360B"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176.868,3</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46174147"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-11,8</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5300F3F"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21,8</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FC59E2F"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198.995,8</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B5230AF"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176.192,1</w:t>
            </w:r>
          </w:p>
        </w:tc>
        <w:tc>
          <w:tcPr>
            <w:tcW w:w="806" w:type="dxa"/>
            <w:tcBorders>
              <w:top w:val="nil"/>
              <w:left w:val="nil"/>
              <w:bottom w:val="single" w:sz="4" w:space="0" w:color="FFFFFF" w:themeColor="background1"/>
              <w:right w:val="nil"/>
            </w:tcBorders>
            <w:shd w:val="clear" w:color="auto" w:fill="auto"/>
            <w:noWrap/>
            <w:vAlign w:val="bottom"/>
            <w:hideMark/>
          </w:tcPr>
          <w:p w14:paraId="1B22B1F2"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-11,5</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1D115ADF"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99,6</w:t>
            </w:r>
          </w:p>
        </w:tc>
      </w:tr>
      <w:tr w:rsidR="00DD3B76" w14:paraId="1BCB98CA" w14:textId="77777777" w:rsidTr="00B20E50">
        <w:tc>
          <w:tcPr>
            <w:tcW w:w="1838" w:type="dxa"/>
            <w:tcBorders>
              <w:top w:val="nil"/>
              <w:left w:val="single" w:sz="4" w:space="0" w:color="auto"/>
              <w:bottom w:val="single" w:sz="4" w:space="0" w:color="FFFFFF" w:themeColor="background1"/>
              <w:right w:val="nil"/>
            </w:tcBorders>
            <w:shd w:val="clear" w:color="auto" w:fill="auto"/>
            <w:vAlign w:val="bottom"/>
            <w:hideMark/>
          </w:tcPr>
          <w:p w14:paraId="1D012A97" w14:textId="77777777" w:rsidR="00DD3B76" w:rsidRPr="0036109B" w:rsidRDefault="00DD3B76" w:rsidP="00B20E50">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Deutschland</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50CBAE62"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11,4</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30EDC30A"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164.005,3</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2C601D84"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140.668,3</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7E592458"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-14,2</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CD44A8A"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23,6</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73C72AA"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130.249,2</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507B821"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190.701,3</w:t>
            </w:r>
          </w:p>
        </w:tc>
        <w:tc>
          <w:tcPr>
            <w:tcW w:w="806" w:type="dxa"/>
            <w:tcBorders>
              <w:top w:val="nil"/>
              <w:left w:val="nil"/>
              <w:bottom w:val="single" w:sz="4" w:space="0" w:color="FFFFFF" w:themeColor="background1"/>
              <w:right w:val="nil"/>
            </w:tcBorders>
            <w:shd w:val="clear" w:color="auto" w:fill="auto"/>
            <w:noWrap/>
            <w:vAlign w:val="bottom"/>
            <w:hideMark/>
          </w:tcPr>
          <w:p w14:paraId="342F91B2"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46,4</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1FF52CFD"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135,6</w:t>
            </w:r>
          </w:p>
        </w:tc>
      </w:tr>
      <w:tr w:rsidR="00DD3B76" w14:paraId="30FA82EC" w14:textId="77777777" w:rsidTr="00B20E50">
        <w:tc>
          <w:tcPr>
            <w:tcW w:w="1838" w:type="dxa"/>
            <w:tcBorders>
              <w:top w:val="nil"/>
              <w:left w:val="single" w:sz="4" w:space="0" w:color="auto"/>
              <w:bottom w:val="single" w:sz="4" w:space="0" w:color="FFFFFF" w:themeColor="background1"/>
              <w:right w:val="nil"/>
            </w:tcBorders>
            <w:shd w:val="clear" w:color="auto" w:fill="auto"/>
            <w:vAlign w:val="bottom"/>
            <w:hideMark/>
          </w:tcPr>
          <w:p w14:paraId="6CB13DAB" w14:textId="77777777" w:rsidR="00DD3B76" w:rsidRPr="0036109B" w:rsidRDefault="00DD3B76" w:rsidP="00B20E50">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Italien</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6697C37A"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5,9</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673310FC"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77.703,0</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2D1F8271"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72.650,6</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2CDBFC4C"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-6,5</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E6AC1E2"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2,0</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09CBF83"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23.902,3</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86BD837"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16.516,9</w:t>
            </w:r>
          </w:p>
        </w:tc>
        <w:tc>
          <w:tcPr>
            <w:tcW w:w="806" w:type="dxa"/>
            <w:tcBorders>
              <w:top w:val="nil"/>
              <w:left w:val="nil"/>
              <w:bottom w:val="single" w:sz="4" w:space="0" w:color="FFFFFF" w:themeColor="background1"/>
              <w:right w:val="nil"/>
            </w:tcBorders>
            <w:shd w:val="clear" w:color="auto" w:fill="auto"/>
            <w:noWrap/>
            <w:vAlign w:val="bottom"/>
            <w:hideMark/>
          </w:tcPr>
          <w:p w14:paraId="2C525E5E"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-30,9</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6EFB1250"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22,7</w:t>
            </w:r>
          </w:p>
        </w:tc>
      </w:tr>
      <w:tr w:rsidR="00DD3B76" w14:paraId="458E98C9" w14:textId="77777777" w:rsidTr="00B20E50">
        <w:tc>
          <w:tcPr>
            <w:tcW w:w="1838" w:type="dxa"/>
            <w:tcBorders>
              <w:top w:val="nil"/>
              <w:left w:val="single" w:sz="4" w:space="0" w:color="auto"/>
              <w:bottom w:val="single" w:sz="4" w:space="0" w:color="FFFFFF" w:themeColor="background1"/>
              <w:right w:val="nil"/>
            </w:tcBorders>
            <w:shd w:val="clear" w:color="auto" w:fill="auto"/>
            <w:vAlign w:val="bottom"/>
            <w:hideMark/>
          </w:tcPr>
          <w:p w14:paraId="157D54F4" w14:textId="77777777" w:rsidR="00DD3B76" w:rsidRPr="0036109B" w:rsidRDefault="00DD3B76" w:rsidP="00B20E50">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Irland</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0430D77B"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0,1</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60C73E0F"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1.532,3</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56A49E03"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689,8</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044ECDC2"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-55,0</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E3837D5"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1,4</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DC2D49A"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10.100,2</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662D2D7"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11.573,5</w:t>
            </w:r>
          </w:p>
        </w:tc>
        <w:tc>
          <w:tcPr>
            <w:tcW w:w="806" w:type="dxa"/>
            <w:tcBorders>
              <w:top w:val="nil"/>
              <w:left w:val="nil"/>
              <w:bottom w:val="single" w:sz="4" w:space="0" w:color="FFFFFF" w:themeColor="background1"/>
              <w:right w:val="nil"/>
            </w:tcBorders>
            <w:shd w:val="clear" w:color="auto" w:fill="auto"/>
            <w:noWrap/>
            <w:vAlign w:val="bottom"/>
            <w:hideMark/>
          </w:tcPr>
          <w:p w14:paraId="383F531B"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14,6</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7063F3D8"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1.677,8</w:t>
            </w:r>
          </w:p>
        </w:tc>
      </w:tr>
      <w:tr w:rsidR="00DD3B76" w14:paraId="3869F7F2" w14:textId="77777777" w:rsidTr="00B20E50">
        <w:tc>
          <w:tcPr>
            <w:tcW w:w="1838" w:type="dxa"/>
            <w:tcBorders>
              <w:top w:val="nil"/>
              <w:left w:val="single" w:sz="4" w:space="0" w:color="auto"/>
              <w:bottom w:val="single" w:sz="4" w:space="0" w:color="FFFFFF" w:themeColor="background1"/>
              <w:right w:val="nil"/>
            </w:tcBorders>
            <w:shd w:val="clear" w:color="auto" w:fill="auto"/>
            <w:vAlign w:val="bottom"/>
            <w:hideMark/>
          </w:tcPr>
          <w:p w14:paraId="0A881F7B" w14:textId="77777777" w:rsidR="00DD3B76" w:rsidRPr="0036109B" w:rsidRDefault="00DD3B76" w:rsidP="00B20E50">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Dänemark</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232C5799"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3,9</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77295EF9"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27.535,9</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092D60DC"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47.968,8</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2CE988B4"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74,2</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62E1E63"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0,3</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25069E6"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3.010,4</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1FB5D4A"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2.203,0</w:t>
            </w:r>
          </w:p>
        </w:tc>
        <w:tc>
          <w:tcPr>
            <w:tcW w:w="806" w:type="dxa"/>
            <w:tcBorders>
              <w:top w:val="nil"/>
              <w:left w:val="nil"/>
              <w:bottom w:val="single" w:sz="4" w:space="0" w:color="FFFFFF" w:themeColor="background1"/>
              <w:right w:val="nil"/>
            </w:tcBorders>
            <w:shd w:val="clear" w:color="auto" w:fill="auto"/>
            <w:noWrap/>
            <w:vAlign w:val="bottom"/>
            <w:hideMark/>
          </w:tcPr>
          <w:p w14:paraId="0336DDB2"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-26,8</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6AE398CE"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4,6</w:t>
            </w:r>
          </w:p>
        </w:tc>
      </w:tr>
      <w:tr w:rsidR="00DD3B76" w14:paraId="4D080BED" w14:textId="77777777" w:rsidTr="00B20E50">
        <w:tc>
          <w:tcPr>
            <w:tcW w:w="1838" w:type="dxa"/>
            <w:tcBorders>
              <w:top w:val="nil"/>
              <w:left w:val="single" w:sz="4" w:space="0" w:color="auto"/>
              <w:bottom w:val="single" w:sz="4" w:space="0" w:color="FFFFFF" w:themeColor="background1"/>
              <w:right w:val="nil"/>
            </w:tcBorders>
            <w:shd w:val="clear" w:color="auto" w:fill="auto"/>
            <w:vAlign w:val="bottom"/>
            <w:hideMark/>
          </w:tcPr>
          <w:p w14:paraId="5459D90D" w14:textId="77777777" w:rsidR="00DD3B76" w:rsidRPr="0036109B" w:rsidRDefault="00DD3B76" w:rsidP="00B20E50">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Griechenland</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15E8B545"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0,0</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1B7EE0F9"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123,3</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6D89802E"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33,6</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4F0748BD"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-72,7</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57E6761"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0,2</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D50E395"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2.234,6</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337A1D2"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1.982,0</w:t>
            </w:r>
          </w:p>
        </w:tc>
        <w:tc>
          <w:tcPr>
            <w:tcW w:w="806" w:type="dxa"/>
            <w:tcBorders>
              <w:top w:val="nil"/>
              <w:left w:val="nil"/>
              <w:bottom w:val="single" w:sz="4" w:space="0" w:color="FFFFFF" w:themeColor="background1"/>
              <w:right w:val="nil"/>
            </w:tcBorders>
            <w:shd w:val="clear" w:color="auto" w:fill="auto"/>
            <w:noWrap/>
            <w:vAlign w:val="bottom"/>
            <w:hideMark/>
          </w:tcPr>
          <w:p w14:paraId="6847D532"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-11,3</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26CACC30"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5.892,7</w:t>
            </w:r>
          </w:p>
        </w:tc>
      </w:tr>
      <w:tr w:rsidR="00DD3B76" w14:paraId="6B9424CF" w14:textId="77777777" w:rsidTr="00B20E50">
        <w:tc>
          <w:tcPr>
            <w:tcW w:w="1838" w:type="dxa"/>
            <w:tcBorders>
              <w:top w:val="nil"/>
              <w:left w:val="single" w:sz="4" w:space="0" w:color="auto"/>
              <w:bottom w:val="single" w:sz="4" w:space="0" w:color="FFFFFF" w:themeColor="background1"/>
              <w:right w:val="nil"/>
            </w:tcBorders>
            <w:shd w:val="clear" w:color="auto" w:fill="auto"/>
            <w:vAlign w:val="bottom"/>
            <w:hideMark/>
          </w:tcPr>
          <w:p w14:paraId="48BE6FAB" w14:textId="77777777" w:rsidR="00DD3B76" w:rsidRPr="0036109B" w:rsidRDefault="00DD3B76" w:rsidP="00B20E50">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Portugal</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4CCED487"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0,4</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35BC1DFA"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4.628,5</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0CD6DEFC"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4.914,5</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2A3510E3"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6,2</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0D595CD"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0,5</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CE0C24C"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5.510,0</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58ABBDF"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4.237,8</w:t>
            </w:r>
          </w:p>
        </w:tc>
        <w:tc>
          <w:tcPr>
            <w:tcW w:w="806" w:type="dxa"/>
            <w:tcBorders>
              <w:top w:val="nil"/>
              <w:left w:val="nil"/>
              <w:bottom w:val="single" w:sz="4" w:space="0" w:color="FFFFFF" w:themeColor="background1"/>
              <w:right w:val="nil"/>
            </w:tcBorders>
            <w:shd w:val="clear" w:color="auto" w:fill="auto"/>
            <w:noWrap/>
            <w:vAlign w:val="bottom"/>
            <w:hideMark/>
          </w:tcPr>
          <w:p w14:paraId="765620D1"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-23,1</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6135E4B7"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86,2</w:t>
            </w:r>
          </w:p>
        </w:tc>
      </w:tr>
      <w:tr w:rsidR="00DD3B76" w14:paraId="4D3048AC" w14:textId="77777777" w:rsidTr="00B20E50">
        <w:tc>
          <w:tcPr>
            <w:tcW w:w="1838" w:type="dxa"/>
            <w:tcBorders>
              <w:top w:val="nil"/>
              <w:left w:val="single" w:sz="4" w:space="0" w:color="auto"/>
              <w:bottom w:val="single" w:sz="4" w:space="0" w:color="FFFFFF" w:themeColor="background1"/>
              <w:right w:val="nil"/>
            </w:tcBorders>
            <w:shd w:val="clear" w:color="auto" w:fill="auto"/>
            <w:vAlign w:val="bottom"/>
            <w:hideMark/>
          </w:tcPr>
          <w:p w14:paraId="2D54FB5B" w14:textId="77777777" w:rsidR="00DD3B76" w:rsidRPr="0036109B" w:rsidRDefault="00DD3B76" w:rsidP="00B20E50">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Spanien</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303BAA1A"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0,9</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7BF96B54"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13.786,6</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2A976516"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10.613,0</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0D0DC24E"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-23,0</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3E3DE7C"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2,0</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7DB2512"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17.879,4</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D29FE33"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16.279,3</w:t>
            </w:r>
          </w:p>
        </w:tc>
        <w:tc>
          <w:tcPr>
            <w:tcW w:w="806" w:type="dxa"/>
            <w:tcBorders>
              <w:top w:val="nil"/>
              <w:left w:val="nil"/>
              <w:bottom w:val="single" w:sz="4" w:space="0" w:color="FFFFFF" w:themeColor="background1"/>
              <w:right w:val="nil"/>
            </w:tcBorders>
            <w:shd w:val="clear" w:color="auto" w:fill="auto"/>
            <w:noWrap/>
            <w:vAlign w:val="bottom"/>
            <w:hideMark/>
          </w:tcPr>
          <w:p w14:paraId="7F09E27C"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-8,9</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3942A7E8"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153,4</w:t>
            </w:r>
          </w:p>
        </w:tc>
      </w:tr>
      <w:tr w:rsidR="00DD3B76" w14:paraId="3CAD59EE" w14:textId="77777777" w:rsidTr="00B20E50">
        <w:tc>
          <w:tcPr>
            <w:tcW w:w="1838" w:type="dxa"/>
            <w:tcBorders>
              <w:top w:val="nil"/>
              <w:left w:val="single" w:sz="4" w:space="0" w:color="auto"/>
              <w:bottom w:val="single" w:sz="4" w:space="0" w:color="FFFFFF" w:themeColor="background1"/>
              <w:right w:val="nil"/>
            </w:tcBorders>
            <w:shd w:val="clear" w:color="auto" w:fill="auto"/>
            <w:vAlign w:val="bottom"/>
            <w:hideMark/>
          </w:tcPr>
          <w:p w14:paraId="5060BCB5" w14:textId="77777777" w:rsidR="00DD3B76" w:rsidRPr="0036109B" w:rsidRDefault="00DD3B76" w:rsidP="00B20E50">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Luxemburg</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2A345DDF"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0,0</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3601FFFD"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831,1</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05C66DCC"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278,2</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286ED944"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-66,5</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F91DB59"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1,4</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998B069"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12.923,9</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1B48622"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11.507,0</w:t>
            </w:r>
          </w:p>
        </w:tc>
        <w:tc>
          <w:tcPr>
            <w:tcW w:w="806" w:type="dxa"/>
            <w:tcBorders>
              <w:top w:val="nil"/>
              <w:left w:val="nil"/>
              <w:bottom w:val="single" w:sz="4" w:space="0" w:color="FFFFFF" w:themeColor="background1"/>
              <w:right w:val="nil"/>
            </w:tcBorders>
            <w:shd w:val="clear" w:color="auto" w:fill="auto"/>
            <w:noWrap/>
            <w:vAlign w:val="bottom"/>
            <w:hideMark/>
          </w:tcPr>
          <w:p w14:paraId="158AA5F7"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-11,0</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030D9F85"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4.136,5</w:t>
            </w:r>
          </w:p>
        </w:tc>
      </w:tr>
      <w:tr w:rsidR="00DD3B76" w14:paraId="2AF5ACA4" w14:textId="77777777" w:rsidTr="00B20E50">
        <w:tc>
          <w:tcPr>
            <w:tcW w:w="1838" w:type="dxa"/>
            <w:tcBorders>
              <w:top w:val="nil"/>
              <w:left w:val="single" w:sz="4" w:space="0" w:color="auto"/>
              <w:bottom w:val="single" w:sz="4" w:space="0" w:color="FFFFFF" w:themeColor="background1"/>
              <w:right w:val="nil"/>
            </w:tcBorders>
            <w:shd w:val="clear" w:color="auto" w:fill="auto"/>
            <w:vAlign w:val="bottom"/>
            <w:hideMark/>
          </w:tcPr>
          <w:p w14:paraId="615FC42C" w14:textId="77777777" w:rsidR="00DD3B76" w:rsidRPr="0036109B" w:rsidRDefault="00DD3B76" w:rsidP="00B20E50">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Ceuta</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31F5AC1E"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0,0</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38D8D676"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0,0</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71A8455B"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0,0</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5F79A1C1"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 xml:space="preserve">- </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83F3FF4"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0,0</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D85617D"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16,2</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0F9B6D3"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18,6</w:t>
            </w:r>
          </w:p>
        </w:tc>
        <w:tc>
          <w:tcPr>
            <w:tcW w:w="806" w:type="dxa"/>
            <w:tcBorders>
              <w:top w:val="nil"/>
              <w:left w:val="nil"/>
              <w:bottom w:val="single" w:sz="4" w:space="0" w:color="FFFFFF" w:themeColor="background1"/>
              <w:right w:val="nil"/>
            </w:tcBorders>
            <w:shd w:val="clear" w:color="auto" w:fill="auto"/>
            <w:noWrap/>
            <w:vAlign w:val="bottom"/>
            <w:hideMark/>
          </w:tcPr>
          <w:p w14:paraId="16E7A242"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15,3</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4F487D24"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 xml:space="preserve">- </w:t>
            </w:r>
          </w:p>
        </w:tc>
      </w:tr>
      <w:tr w:rsidR="00DD3B76" w14:paraId="1EF0493B" w14:textId="77777777" w:rsidTr="00B20E50">
        <w:tc>
          <w:tcPr>
            <w:tcW w:w="1838" w:type="dxa"/>
            <w:tcBorders>
              <w:top w:val="nil"/>
              <w:left w:val="single" w:sz="4" w:space="0" w:color="auto"/>
              <w:bottom w:val="single" w:sz="4" w:space="0" w:color="FFFFFF" w:themeColor="background1"/>
              <w:right w:val="nil"/>
            </w:tcBorders>
            <w:shd w:val="clear" w:color="auto" w:fill="auto"/>
            <w:vAlign w:val="bottom"/>
            <w:hideMark/>
          </w:tcPr>
          <w:p w14:paraId="2DECCBE6" w14:textId="77777777" w:rsidR="00DD3B76" w:rsidRPr="0036109B" w:rsidRDefault="00DD3B76" w:rsidP="00B20E50">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Schweden</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056F27F"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0,9</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52A1D7F7"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15.395,9</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25E6F2E0"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11.179,7</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2800548B"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-27,4</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FB811D1"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0,4</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390570B"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3.852,5</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3680BDA"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3.197,0</w:t>
            </w:r>
          </w:p>
        </w:tc>
        <w:tc>
          <w:tcPr>
            <w:tcW w:w="806" w:type="dxa"/>
            <w:tcBorders>
              <w:top w:val="nil"/>
              <w:left w:val="nil"/>
              <w:bottom w:val="single" w:sz="4" w:space="0" w:color="FFFFFF" w:themeColor="background1"/>
              <w:right w:val="nil"/>
            </w:tcBorders>
            <w:shd w:val="clear" w:color="auto" w:fill="auto"/>
            <w:noWrap/>
            <w:vAlign w:val="bottom"/>
            <w:hideMark/>
          </w:tcPr>
          <w:p w14:paraId="199B6F48"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-17,0</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7B08E2C3"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28,6</w:t>
            </w:r>
          </w:p>
        </w:tc>
      </w:tr>
      <w:tr w:rsidR="00DD3B76" w14:paraId="6255B7EC" w14:textId="77777777" w:rsidTr="00B20E50">
        <w:tc>
          <w:tcPr>
            <w:tcW w:w="1838" w:type="dxa"/>
            <w:tcBorders>
              <w:top w:val="nil"/>
              <w:left w:val="single" w:sz="4" w:space="0" w:color="auto"/>
              <w:bottom w:val="single" w:sz="4" w:space="0" w:color="FFFFFF" w:themeColor="background1"/>
              <w:right w:val="nil"/>
            </w:tcBorders>
            <w:shd w:val="clear" w:color="auto" w:fill="auto"/>
            <w:vAlign w:val="bottom"/>
            <w:hideMark/>
          </w:tcPr>
          <w:p w14:paraId="03360F9D" w14:textId="77777777" w:rsidR="00DD3B76" w:rsidRPr="0036109B" w:rsidRDefault="00DD3B76" w:rsidP="00B20E50">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Finnland</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4C01AFD5"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0,4</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77C36840"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5.072,1</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1E836958"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4.890,0</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326D25D1"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-3,6</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0509C64"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0,1</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F8C7D85"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768,1</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BB8454F"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582,5</w:t>
            </w:r>
          </w:p>
        </w:tc>
        <w:tc>
          <w:tcPr>
            <w:tcW w:w="806" w:type="dxa"/>
            <w:tcBorders>
              <w:top w:val="nil"/>
              <w:left w:val="nil"/>
              <w:bottom w:val="single" w:sz="4" w:space="0" w:color="FFFFFF" w:themeColor="background1"/>
              <w:right w:val="nil"/>
            </w:tcBorders>
            <w:shd w:val="clear" w:color="auto" w:fill="auto"/>
            <w:noWrap/>
            <w:vAlign w:val="bottom"/>
            <w:hideMark/>
          </w:tcPr>
          <w:p w14:paraId="4747DA6A"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-24,2</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2A92F1DF"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11,9</w:t>
            </w:r>
          </w:p>
        </w:tc>
      </w:tr>
      <w:tr w:rsidR="00DD3B76" w14:paraId="79754E15" w14:textId="77777777" w:rsidTr="00B20E50">
        <w:tc>
          <w:tcPr>
            <w:tcW w:w="1838" w:type="dxa"/>
            <w:tcBorders>
              <w:top w:val="nil"/>
              <w:left w:val="single" w:sz="4" w:space="0" w:color="auto"/>
              <w:bottom w:val="single" w:sz="4" w:space="0" w:color="FFFFFF" w:themeColor="background1"/>
              <w:right w:val="nil"/>
            </w:tcBorders>
            <w:shd w:val="clear" w:color="auto" w:fill="auto"/>
            <w:vAlign w:val="bottom"/>
            <w:hideMark/>
          </w:tcPr>
          <w:p w14:paraId="0D7DD69E" w14:textId="77777777" w:rsidR="00DD3B76" w:rsidRPr="0036109B" w:rsidRDefault="00DD3B76" w:rsidP="00B20E50">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Österreich</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2F9F24DF"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0,3</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07563EB4"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3.339,5</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12B04201"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3.147,2</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0EE0E633"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-5,8</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4EBF117"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0,8</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A8CF2E5"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6.822,0</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C4F187B"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6.311,9</w:t>
            </w:r>
          </w:p>
        </w:tc>
        <w:tc>
          <w:tcPr>
            <w:tcW w:w="806" w:type="dxa"/>
            <w:tcBorders>
              <w:top w:val="nil"/>
              <w:left w:val="nil"/>
              <w:bottom w:val="single" w:sz="4" w:space="0" w:color="FFFFFF" w:themeColor="background1"/>
              <w:right w:val="nil"/>
            </w:tcBorders>
            <w:shd w:val="clear" w:color="auto" w:fill="auto"/>
            <w:noWrap/>
            <w:vAlign w:val="bottom"/>
            <w:hideMark/>
          </w:tcPr>
          <w:p w14:paraId="216ADFA2"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-7,5</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1C11FF21"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200,6</w:t>
            </w:r>
          </w:p>
        </w:tc>
      </w:tr>
      <w:tr w:rsidR="00DD3B76" w14:paraId="12D0D091" w14:textId="77777777" w:rsidTr="00B20E50">
        <w:tc>
          <w:tcPr>
            <w:tcW w:w="1838" w:type="dxa"/>
            <w:tcBorders>
              <w:top w:val="nil"/>
              <w:left w:val="single" w:sz="4" w:space="0" w:color="auto"/>
              <w:bottom w:val="single" w:sz="4" w:space="0" w:color="FFFFFF" w:themeColor="background1"/>
              <w:right w:val="nil"/>
            </w:tcBorders>
            <w:shd w:val="clear" w:color="auto" w:fill="auto"/>
            <w:vAlign w:val="bottom"/>
            <w:hideMark/>
          </w:tcPr>
          <w:p w14:paraId="24416534" w14:textId="77777777" w:rsidR="00DD3B76" w:rsidRPr="0036109B" w:rsidRDefault="00DD3B76" w:rsidP="00B20E50">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Malta</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BD4532E"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0,0</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1B87FD01"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2,1</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4B01DB6A"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83,6</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214B595C"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3.913,9</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2AFEED1"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0,1</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269C44F"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361,7</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E9CD241"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496,8</w:t>
            </w:r>
          </w:p>
        </w:tc>
        <w:tc>
          <w:tcPr>
            <w:tcW w:w="806" w:type="dxa"/>
            <w:tcBorders>
              <w:top w:val="nil"/>
              <w:left w:val="nil"/>
              <w:bottom w:val="single" w:sz="4" w:space="0" w:color="FFFFFF" w:themeColor="background1"/>
              <w:right w:val="nil"/>
            </w:tcBorders>
            <w:shd w:val="clear" w:color="auto" w:fill="auto"/>
            <w:noWrap/>
            <w:vAlign w:val="bottom"/>
            <w:hideMark/>
          </w:tcPr>
          <w:p w14:paraId="613AF35C"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37,4</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2D96F20E"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594,4</w:t>
            </w:r>
          </w:p>
        </w:tc>
      </w:tr>
      <w:tr w:rsidR="00DD3B76" w14:paraId="50665F90" w14:textId="77777777" w:rsidTr="00B20E50">
        <w:tc>
          <w:tcPr>
            <w:tcW w:w="1838" w:type="dxa"/>
            <w:tcBorders>
              <w:top w:val="nil"/>
              <w:left w:val="single" w:sz="4" w:space="0" w:color="auto"/>
              <w:bottom w:val="single" w:sz="4" w:space="0" w:color="FFFFFF" w:themeColor="background1"/>
              <w:right w:val="nil"/>
            </w:tcBorders>
            <w:shd w:val="clear" w:color="auto" w:fill="auto"/>
            <w:vAlign w:val="bottom"/>
            <w:hideMark/>
          </w:tcPr>
          <w:p w14:paraId="6FDDF71B" w14:textId="77777777" w:rsidR="00DD3B76" w:rsidRPr="0036109B" w:rsidRDefault="00DD3B76" w:rsidP="00B20E50">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Estland</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315DBBFF"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0,1</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740202C5"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2.060,5</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0C31374E"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1.127,4</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57236900"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-45,3</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48011A6"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0,1</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031CF51"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544,9</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1EB313D"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409,3</w:t>
            </w:r>
          </w:p>
        </w:tc>
        <w:tc>
          <w:tcPr>
            <w:tcW w:w="806" w:type="dxa"/>
            <w:tcBorders>
              <w:top w:val="nil"/>
              <w:left w:val="nil"/>
              <w:bottom w:val="single" w:sz="4" w:space="0" w:color="FFFFFF" w:themeColor="background1"/>
              <w:right w:val="nil"/>
            </w:tcBorders>
            <w:shd w:val="clear" w:color="auto" w:fill="auto"/>
            <w:noWrap/>
            <w:vAlign w:val="bottom"/>
            <w:hideMark/>
          </w:tcPr>
          <w:p w14:paraId="46CCD0B2"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-24,9</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3A6F06D8"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36,3</w:t>
            </w:r>
          </w:p>
        </w:tc>
      </w:tr>
      <w:tr w:rsidR="00DD3B76" w14:paraId="02FC7F69" w14:textId="77777777" w:rsidTr="00B20E50">
        <w:tc>
          <w:tcPr>
            <w:tcW w:w="1838" w:type="dxa"/>
            <w:tcBorders>
              <w:top w:val="nil"/>
              <w:left w:val="single" w:sz="4" w:space="0" w:color="auto"/>
              <w:bottom w:val="single" w:sz="4" w:space="0" w:color="FFFFFF" w:themeColor="background1"/>
              <w:right w:val="nil"/>
            </w:tcBorders>
            <w:shd w:val="clear" w:color="auto" w:fill="auto"/>
            <w:vAlign w:val="bottom"/>
            <w:hideMark/>
          </w:tcPr>
          <w:p w14:paraId="026D0204" w14:textId="77777777" w:rsidR="00DD3B76" w:rsidRPr="0036109B" w:rsidRDefault="00DD3B76" w:rsidP="00B20E50">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Lettland</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2AF2F9BE"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0,0</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4663C0E5"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387,1</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7BEBFDFC"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252,9</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277BA2DC"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-34,6</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D23A491"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0,0</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B6D35ED"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134,3</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7BAAA79"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190,8</w:t>
            </w:r>
          </w:p>
        </w:tc>
        <w:tc>
          <w:tcPr>
            <w:tcW w:w="806" w:type="dxa"/>
            <w:tcBorders>
              <w:top w:val="nil"/>
              <w:left w:val="nil"/>
              <w:bottom w:val="single" w:sz="4" w:space="0" w:color="FFFFFF" w:themeColor="background1"/>
              <w:right w:val="nil"/>
            </w:tcBorders>
            <w:shd w:val="clear" w:color="auto" w:fill="auto"/>
            <w:noWrap/>
            <w:vAlign w:val="bottom"/>
            <w:hideMark/>
          </w:tcPr>
          <w:p w14:paraId="2F2ADB05"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42,0</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1A211A59"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75,4</w:t>
            </w:r>
          </w:p>
        </w:tc>
      </w:tr>
      <w:tr w:rsidR="00DD3B76" w14:paraId="144CF86F" w14:textId="77777777" w:rsidTr="00B20E50">
        <w:tc>
          <w:tcPr>
            <w:tcW w:w="1838" w:type="dxa"/>
            <w:tcBorders>
              <w:top w:val="nil"/>
              <w:left w:val="single" w:sz="4" w:space="0" w:color="auto"/>
              <w:bottom w:val="single" w:sz="4" w:space="0" w:color="FFFFFF" w:themeColor="background1"/>
              <w:right w:val="nil"/>
            </w:tcBorders>
            <w:shd w:val="clear" w:color="auto" w:fill="auto"/>
            <w:vAlign w:val="bottom"/>
            <w:hideMark/>
          </w:tcPr>
          <w:p w14:paraId="2BB07FAA" w14:textId="77777777" w:rsidR="00DD3B76" w:rsidRPr="0036109B" w:rsidRDefault="00DD3B76" w:rsidP="00B20E50">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Litauen</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2D1E7028"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1,6</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03C17F62"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14.016,1</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314085B4"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20.168,7</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13561F96"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43,9</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A06851F"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0,6</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72DE8FB"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2.640,8</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74F9C2E"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5.117,6</w:t>
            </w:r>
          </w:p>
        </w:tc>
        <w:tc>
          <w:tcPr>
            <w:tcW w:w="806" w:type="dxa"/>
            <w:tcBorders>
              <w:top w:val="nil"/>
              <w:left w:val="nil"/>
              <w:bottom w:val="single" w:sz="4" w:space="0" w:color="FFFFFF" w:themeColor="background1"/>
              <w:right w:val="nil"/>
            </w:tcBorders>
            <w:shd w:val="clear" w:color="auto" w:fill="auto"/>
            <w:noWrap/>
            <w:vAlign w:val="bottom"/>
            <w:hideMark/>
          </w:tcPr>
          <w:p w14:paraId="242776FD"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93,8</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190C9F6E"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25,4</w:t>
            </w:r>
          </w:p>
        </w:tc>
      </w:tr>
      <w:tr w:rsidR="00DD3B76" w14:paraId="7C278552" w14:textId="77777777" w:rsidTr="00B20E50">
        <w:tc>
          <w:tcPr>
            <w:tcW w:w="1838" w:type="dxa"/>
            <w:tcBorders>
              <w:top w:val="nil"/>
              <w:left w:val="single" w:sz="4" w:space="0" w:color="auto"/>
              <w:bottom w:val="single" w:sz="4" w:space="0" w:color="FFFFFF" w:themeColor="background1"/>
              <w:right w:val="nil"/>
            </w:tcBorders>
            <w:shd w:val="clear" w:color="auto" w:fill="auto"/>
            <w:vAlign w:val="bottom"/>
            <w:hideMark/>
          </w:tcPr>
          <w:p w14:paraId="67E37A03" w14:textId="77777777" w:rsidR="00DD3B76" w:rsidRPr="0036109B" w:rsidRDefault="00DD3B76" w:rsidP="00B20E50">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Polen</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1CCCAE11"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8,5</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733E8802"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104.329,9</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40F499A8"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105.321,2</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02B78F49"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1,0</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700A169"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1,0</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E3D1456"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8.843,2</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841F3E6"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7.776,4</w:t>
            </w:r>
          </w:p>
        </w:tc>
        <w:tc>
          <w:tcPr>
            <w:tcW w:w="806" w:type="dxa"/>
            <w:tcBorders>
              <w:top w:val="nil"/>
              <w:left w:val="nil"/>
              <w:bottom w:val="single" w:sz="4" w:space="0" w:color="FFFFFF" w:themeColor="background1"/>
              <w:right w:val="nil"/>
            </w:tcBorders>
            <w:shd w:val="clear" w:color="auto" w:fill="auto"/>
            <w:noWrap/>
            <w:vAlign w:val="bottom"/>
            <w:hideMark/>
          </w:tcPr>
          <w:p w14:paraId="35366B10"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-12,1</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03B61A9C"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7,4</w:t>
            </w:r>
          </w:p>
        </w:tc>
      </w:tr>
      <w:tr w:rsidR="00DD3B76" w14:paraId="66CCA0B8" w14:textId="77777777" w:rsidTr="00B20E50">
        <w:tc>
          <w:tcPr>
            <w:tcW w:w="1838" w:type="dxa"/>
            <w:tcBorders>
              <w:top w:val="nil"/>
              <w:left w:val="single" w:sz="4" w:space="0" w:color="auto"/>
              <w:bottom w:val="single" w:sz="4" w:space="0" w:color="FFFFFF" w:themeColor="background1"/>
              <w:right w:val="nil"/>
            </w:tcBorders>
            <w:shd w:val="clear" w:color="auto" w:fill="auto"/>
            <w:vAlign w:val="bottom"/>
            <w:hideMark/>
          </w:tcPr>
          <w:p w14:paraId="133292E7" w14:textId="77777777" w:rsidR="00DD3B76" w:rsidRPr="0036109B" w:rsidRDefault="00DD3B76" w:rsidP="00B20E50">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Tschechische Republik</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163A61FE"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0,7</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58CDF7FB"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8.008,7</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70AF468D"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8.200,6</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0F327E6B"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2,4</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F2897A1"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0,7</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34DBD46"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6.428,1</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86312B4"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5.714,3</w:t>
            </w:r>
          </w:p>
        </w:tc>
        <w:tc>
          <w:tcPr>
            <w:tcW w:w="806" w:type="dxa"/>
            <w:tcBorders>
              <w:top w:val="nil"/>
              <w:left w:val="nil"/>
              <w:bottom w:val="single" w:sz="4" w:space="0" w:color="FFFFFF" w:themeColor="background1"/>
              <w:right w:val="nil"/>
            </w:tcBorders>
            <w:shd w:val="clear" w:color="auto" w:fill="auto"/>
            <w:noWrap/>
            <w:vAlign w:val="bottom"/>
            <w:hideMark/>
          </w:tcPr>
          <w:p w14:paraId="5BD148FF"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-11,1</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06EA5507"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69,7</w:t>
            </w:r>
          </w:p>
        </w:tc>
      </w:tr>
      <w:tr w:rsidR="00DD3B76" w14:paraId="40FAA28C" w14:textId="77777777" w:rsidTr="00B20E50">
        <w:tc>
          <w:tcPr>
            <w:tcW w:w="1838" w:type="dxa"/>
            <w:tcBorders>
              <w:top w:val="nil"/>
              <w:left w:val="single" w:sz="4" w:space="0" w:color="auto"/>
              <w:bottom w:val="single" w:sz="4" w:space="0" w:color="FFFFFF" w:themeColor="background1"/>
              <w:right w:val="nil"/>
            </w:tcBorders>
            <w:shd w:val="clear" w:color="auto" w:fill="auto"/>
            <w:vAlign w:val="bottom"/>
            <w:hideMark/>
          </w:tcPr>
          <w:p w14:paraId="533E8F01" w14:textId="77777777" w:rsidR="00DD3B76" w:rsidRPr="0036109B" w:rsidRDefault="00DD3B76" w:rsidP="00B20E50">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Slowakei</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2201033D"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0,2</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1BE607E4"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950,5</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62C9694D"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2.139,3</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63D9A702"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125,1</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FE8D11E"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0,1</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1AB3A20"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836,8</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0E1A960"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764,5</w:t>
            </w:r>
          </w:p>
        </w:tc>
        <w:tc>
          <w:tcPr>
            <w:tcW w:w="806" w:type="dxa"/>
            <w:tcBorders>
              <w:top w:val="nil"/>
              <w:left w:val="nil"/>
              <w:bottom w:val="single" w:sz="4" w:space="0" w:color="FFFFFF" w:themeColor="background1"/>
              <w:right w:val="nil"/>
            </w:tcBorders>
            <w:shd w:val="clear" w:color="auto" w:fill="auto"/>
            <w:noWrap/>
            <w:vAlign w:val="bottom"/>
            <w:hideMark/>
          </w:tcPr>
          <w:p w14:paraId="1C2BBA38"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-8,6</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493B103"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35,7</w:t>
            </w:r>
          </w:p>
        </w:tc>
      </w:tr>
      <w:tr w:rsidR="00DD3B76" w14:paraId="2EF126E2" w14:textId="77777777" w:rsidTr="00B20E50">
        <w:tc>
          <w:tcPr>
            <w:tcW w:w="1838" w:type="dxa"/>
            <w:tcBorders>
              <w:top w:val="nil"/>
              <w:left w:val="single" w:sz="4" w:space="0" w:color="auto"/>
              <w:bottom w:val="single" w:sz="4" w:space="0" w:color="FFFFFF" w:themeColor="background1"/>
              <w:right w:val="nil"/>
            </w:tcBorders>
            <w:shd w:val="clear" w:color="auto" w:fill="auto"/>
            <w:vAlign w:val="bottom"/>
            <w:hideMark/>
          </w:tcPr>
          <w:p w14:paraId="6A3AA242" w14:textId="77777777" w:rsidR="00DD3B76" w:rsidRPr="0036109B" w:rsidRDefault="00DD3B76" w:rsidP="00B20E50">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Ungarn</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666FB02A"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0,7</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65C63491"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8.702,5</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7FDB7B6F"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8.342,5</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221B4C95"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-4,1</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C55C254"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0,1</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10CCDF5"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720,2</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34607BE"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860,9</w:t>
            </w:r>
          </w:p>
        </w:tc>
        <w:tc>
          <w:tcPr>
            <w:tcW w:w="806" w:type="dxa"/>
            <w:tcBorders>
              <w:top w:val="nil"/>
              <w:left w:val="nil"/>
              <w:bottom w:val="single" w:sz="4" w:space="0" w:color="FFFFFF" w:themeColor="background1"/>
              <w:right w:val="nil"/>
            </w:tcBorders>
            <w:shd w:val="clear" w:color="auto" w:fill="auto"/>
            <w:noWrap/>
            <w:vAlign w:val="bottom"/>
            <w:hideMark/>
          </w:tcPr>
          <w:p w14:paraId="60A3F8C3"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19,5</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0D8B2AAF"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10,3</w:t>
            </w:r>
          </w:p>
        </w:tc>
      </w:tr>
      <w:tr w:rsidR="00DD3B76" w14:paraId="7696FEA6" w14:textId="77777777" w:rsidTr="00B20E50">
        <w:tc>
          <w:tcPr>
            <w:tcW w:w="1838" w:type="dxa"/>
            <w:tcBorders>
              <w:top w:val="nil"/>
              <w:left w:val="single" w:sz="4" w:space="0" w:color="auto"/>
              <w:bottom w:val="single" w:sz="4" w:space="0" w:color="FFFFFF" w:themeColor="background1"/>
              <w:right w:val="nil"/>
            </w:tcBorders>
            <w:shd w:val="clear" w:color="auto" w:fill="auto"/>
            <w:vAlign w:val="bottom"/>
            <w:hideMark/>
          </w:tcPr>
          <w:p w14:paraId="746D857D" w14:textId="77777777" w:rsidR="00DD3B76" w:rsidRPr="0036109B" w:rsidRDefault="00DD3B76" w:rsidP="00B20E50">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Rumänien</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28A70100"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2,1</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29DE28C1"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27.371,5</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4ACE4017"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25.487,1</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657D933C"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-6,9</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D865FAF"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0,2</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7116BDB"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1.253,6</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2637BA4"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1.316,3</w:t>
            </w:r>
          </w:p>
        </w:tc>
        <w:tc>
          <w:tcPr>
            <w:tcW w:w="806" w:type="dxa"/>
            <w:tcBorders>
              <w:top w:val="nil"/>
              <w:left w:val="nil"/>
              <w:bottom w:val="single" w:sz="4" w:space="0" w:color="FFFFFF" w:themeColor="background1"/>
              <w:right w:val="nil"/>
            </w:tcBorders>
            <w:shd w:val="clear" w:color="auto" w:fill="auto"/>
            <w:noWrap/>
            <w:vAlign w:val="bottom"/>
            <w:hideMark/>
          </w:tcPr>
          <w:p w14:paraId="3D8AF634"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5,0</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17140881"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5,2</w:t>
            </w:r>
          </w:p>
        </w:tc>
      </w:tr>
      <w:tr w:rsidR="00DD3B76" w14:paraId="36853A20" w14:textId="77777777" w:rsidTr="00B20E50">
        <w:tc>
          <w:tcPr>
            <w:tcW w:w="1838" w:type="dxa"/>
            <w:tcBorders>
              <w:top w:val="nil"/>
              <w:left w:val="single" w:sz="4" w:space="0" w:color="auto"/>
              <w:bottom w:val="single" w:sz="4" w:space="0" w:color="FFFFFF" w:themeColor="background1"/>
              <w:right w:val="nil"/>
            </w:tcBorders>
            <w:shd w:val="clear" w:color="auto" w:fill="auto"/>
            <w:vAlign w:val="bottom"/>
            <w:hideMark/>
          </w:tcPr>
          <w:p w14:paraId="19B41294" w14:textId="77777777" w:rsidR="00DD3B76" w:rsidRPr="0036109B" w:rsidRDefault="00DD3B76" w:rsidP="00B20E50">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Bulgarien</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2C397D60"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0,2</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348B9BE6"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2.978,0</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6AE8A017"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2.947,9</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795294E1"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-1,0</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02665C2"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0,0</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C1AC495"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2.066,1</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9F43A67"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319,9</w:t>
            </w:r>
          </w:p>
        </w:tc>
        <w:tc>
          <w:tcPr>
            <w:tcW w:w="806" w:type="dxa"/>
            <w:tcBorders>
              <w:top w:val="nil"/>
              <w:left w:val="nil"/>
              <w:bottom w:val="single" w:sz="4" w:space="0" w:color="FFFFFF" w:themeColor="background1"/>
              <w:right w:val="nil"/>
            </w:tcBorders>
            <w:shd w:val="clear" w:color="auto" w:fill="auto"/>
            <w:noWrap/>
            <w:vAlign w:val="bottom"/>
            <w:hideMark/>
          </w:tcPr>
          <w:p w14:paraId="29717D0D"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-84,5</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01D72A7A"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10,9</w:t>
            </w:r>
          </w:p>
        </w:tc>
      </w:tr>
      <w:tr w:rsidR="00DD3B76" w14:paraId="7FADD4C9" w14:textId="77777777" w:rsidTr="00B20E50">
        <w:tc>
          <w:tcPr>
            <w:tcW w:w="1838" w:type="dxa"/>
            <w:tcBorders>
              <w:top w:val="nil"/>
              <w:left w:val="single" w:sz="4" w:space="0" w:color="auto"/>
              <w:bottom w:val="single" w:sz="4" w:space="0" w:color="FFFFFF" w:themeColor="background1"/>
              <w:right w:val="nil"/>
            </w:tcBorders>
            <w:shd w:val="clear" w:color="auto" w:fill="auto"/>
            <w:vAlign w:val="bottom"/>
            <w:hideMark/>
          </w:tcPr>
          <w:p w14:paraId="3013B31F" w14:textId="77777777" w:rsidR="00DD3B76" w:rsidRPr="0036109B" w:rsidRDefault="00DD3B76" w:rsidP="00B20E50">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Slowenien</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ECB8067"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0,0</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6009EEF2"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640,8</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782099BF"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309,3</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15B71A71"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-51,7</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C7E23D0"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0,0</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E30B654"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361,8</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DCFB791"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391,9</w:t>
            </w:r>
          </w:p>
        </w:tc>
        <w:tc>
          <w:tcPr>
            <w:tcW w:w="806" w:type="dxa"/>
            <w:tcBorders>
              <w:top w:val="nil"/>
              <w:left w:val="nil"/>
              <w:bottom w:val="single" w:sz="4" w:space="0" w:color="FFFFFF" w:themeColor="background1"/>
              <w:right w:val="nil"/>
            </w:tcBorders>
            <w:shd w:val="clear" w:color="auto" w:fill="auto"/>
            <w:noWrap/>
            <w:vAlign w:val="bottom"/>
            <w:hideMark/>
          </w:tcPr>
          <w:p w14:paraId="14C203AE"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8,3</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7213E10E"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126,7</w:t>
            </w:r>
          </w:p>
        </w:tc>
      </w:tr>
      <w:tr w:rsidR="00DD3B76" w14:paraId="02517530" w14:textId="77777777" w:rsidTr="00B20E50">
        <w:tc>
          <w:tcPr>
            <w:tcW w:w="1838" w:type="dxa"/>
            <w:tcBorders>
              <w:top w:val="nil"/>
              <w:left w:val="single" w:sz="4" w:space="0" w:color="auto"/>
              <w:bottom w:val="single" w:sz="4" w:space="0" w:color="FFFFFF" w:themeColor="background1"/>
              <w:right w:val="nil"/>
            </w:tcBorders>
            <w:shd w:val="clear" w:color="auto" w:fill="auto"/>
            <w:vAlign w:val="bottom"/>
            <w:hideMark/>
          </w:tcPr>
          <w:p w14:paraId="4AC92937" w14:textId="77777777" w:rsidR="00DD3B76" w:rsidRPr="0036109B" w:rsidRDefault="00DD3B76" w:rsidP="00B20E50">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Kroatien</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223F091C"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0,1</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674D40C0"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949,1</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19B9EDD4"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906,6</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0CE59CF5"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-4,5</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FC32CA8"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0,1</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D951813"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477,5</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BC97216"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520,2</w:t>
            </w:r>
          </w:p>
        </w:tc>
        <w:tc>
          <w:tcPr>
            <w:tcW w:w="806" w:type="dxa"/>
            <w:tcBorders>
              <w:top w:val="nil"/>
              <w:left w:val="nil"/>
              <w:bottom w:val="single" w:sz="4" w:space="0" w:color="FFFFFF" w:themeColor="background1"/>
              <w:right w:val="nil"/>
            </w:tcBorders>
            <w:shd w:val="clear" w:color="auto" w:fill="auto"/>
            <w:noWrap/>
            <w:vAlign w:val="bottom"/>
            <w:hideMark/>
          </w:tcPr>
          <w:p w14:paraId="3A2A8006"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8,9</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0B7E2B58"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57,4</w:t>
            </w:r>
          </w:p>
        </w:tc>
      </w:tr>
      <w:tr w:rsidR="00DD3B76" w14:paraId="2E33DBEE" w14:textId="77777777" w:rsidTr="00B20E50">
        <w:tc>
          <w:tcPr>
            <w:tcW w:w="1838" w:type="dxa"/>
            <w:tcBorders>
              <w:top w:val="nil"/>
              <w:left w:val="single" w:sz="4" w:space="0" w:color="auto"/>
              <w:bottom w:val="single" w:sz="4" w:space="0" w:color="FFFFFF" w:themeColor="background1"/>
              <w:right w:val="nil"/>
            </w:tcBorders>
            <w:shd w:val="clear" w:color="auto" w:fill="auto"/>
            <w:vAlign w:val="bottom"/>
            <w:hideMark/>
          </w:tcPr>
          <w:p w14:paraId="0A0957FB" w14:textId="77777777" w:rsidR="00DD3B76" w:rsidRPr="0036109B" w:rsidRDefault="00DD3B76" w:rsidP="00B20E50">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Zypern</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2380EBBD"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0,0</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23E07AEF"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0,1</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75D8DFC7"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8,1</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1C0DB94A" w14:textId="77777777" w:rsidR="00DD3B76" w:rsidRPr="0036109B" w:rsidRDefault="00DD3B76" w:rsidP="00B20E50">
            <w:pPr>
              <w:spacing w:after="0" w:line="240" w:lineRule="auto"/>
              <w:jc w:val="right"/>
              <w:rPr>
                <w:rFonts w:eastAsia="Times New Roman"/>
                <w:color w:val="000000"/>
                <w:sz w:val="14"/>
                <w:szCs w:val="14"/>
                <w:lang w:eastAsia="nl-BE"/>
              </w:rPr>
            </w:pPr>
            <w:r w:rsidRPr="37382CDB">
              <w:rPr>
                <w:rFonts w:eastAsia="Times New Roman"/>
                <w:color w:val="000000" w:themeColor="text1"/>
                <w:sz w:val="14"/>
                <w:szCs w:val="14"/>
                <w:lang w:val="de" w:eastAsia="nl-BE"/>
              </w:rPr>
              <w:t>14.432,1</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589FB9C"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0,1</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9868490"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2.246,0</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8984994"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414,0</w:t>
            </w:r>
          </w:p>
        </w:tc>
        <w:tc>
          <w:tcPr>
            <w:tcW w:w="806" w:type="dxa"/>
            <w:tcBorders>
              <w:top w:val="nil"/>
              <w:left w:val="nil"/>
              <w:bottom w:val="single" w:sz="4" w:space="0" w:color="FFFFFF" w:themeColor="background1"/>
              <w:right w:val="nil"/>
            </w:tcBorders>
            <w:shd w:val="clear" w:color="auto" w:fill="auto"/>
            <w:noWrap/>
            <w:vAlign w:val="bottom"/>
            <w:hideMark/>
          </w:tcPr>
          <w:p w14:paraId="754B6E41"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-81,6</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69D1BC5B"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5.087,0</w:t>
            </w:r>
          </w:p>
        </w:tc>
      </w:tr>
      <w:tr w:rsidR="00DD3B76" w14:paraId="46B4948C" w14:textId="77777777" w:rsidTr="00B20E50">
        <w:tc>
          <w:tcPr>
            <w:tcW w:w="1838"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16891061" w14:textId="77777777" w:rsidR="00DD3B76" w:rsidRPr="0036109B" w:rsidRDefault="00DD3B76" w:rsidP="00B20E50">
            <w:pPr>
              <w:spacing w:after="0" w:line="240" w:lineRule="auto"/>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Vereinigtes Königreich</w:t>
            </w:r>
          </w:p>
        </w:tc>
        <w:tc>
          <w:tcPr>
            <w:tcW w:w="805" w:type="dxa"/>
            <w:tcBorders>
              <w:top w:val="single" w:sz="4" w:space="0" w:color="auto"/>
              <w:left w:val="single" w:sz="4" w:space="0" w:color="auto"/>
              <w:bottom w:val="single" w:sz="4" w:space="0" w:color="auto"/>
              <w:right w:val="single" w:sz="4" w:space="0" w:color="FFFFFF" w:themeColor="background1"/>
            </w:tcBorders>
            <w:shd w:val="clear" w:color="auto" w:fill="D9D9D9" w:themeFill="background1" w:themeFillShade="D9"/>
            <w:vAlign w:val="bottom"/>
            <w:hideMark/>
          </w:tcPr>
          <w:p w14:paraId="234627B1"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0,7</w:t>
            </w:r>
          </w:p>
        </w:tc>
        <w:tc>
          <w:tcPr>
            <w:tcW w:w="896" w:type="dxa"/>
            <w:tcBorders>
              <w:top w:val="single" w:sz="4" w:space="0" w:color="auto"/>
              <w:left w:val="nil"/>
              <w:bottom w:val="single" w:sz="4" w:space="0" w:color="auto"/>
              <w:right w:val="single" w:sz="4" w:space="0" w:color="FFFFFF" w:themeColor="background1"/>
            </w:tcBorders>
            <w:shd w:val="clear" w:color="auto" w:fill="D9D9D9" w:themeFill="background1" w:themeFillShade="D9"/>
            <w:vAlign w:val="bottom"/>
            <w:hideMark/>
          </w:tcPr>
          <w:p w14:paraId="556D6B98"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8.461,6</w:t>
            </w:r>
          </w:p>
        </w:tc>
        <w:tc>
          <w:tcPr>
            <w:tcW w:w="992" w:type="dxa"/>
            <w:tcBorders>
              <w:top w:val="single" w:sz="4" w:space="0" w:color="auto"/>
              <w:left w:val="nil"/>
              <w:bottom w:val="single" w:sz="4" w:space="0" w:color="auto"/>
              <w:right w:val="single" w:sz="4" w:space="0" w:color="FFFFFF" w:themeColor="background1"/>
            </w:tcBorders>
            <w:shd w:val="clear" w:color="auto" w:fill="D9D9D9" w:themeFill="background1" w:themeFillShade="D9"/>
            <w:vAlign w:val="bottom"/>
            <w:hideMark/>
          </w:tcPr>
          <w:p w14:paraId="61C58C32"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8.634,0</w:t>
            </w:r>
          </w:p>
        </w:tc>
        <w:tc>
          <w:tcPr>
            <w:tcW w:w="73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2A03C2B"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2,0</w:t>
            </w:r>
          </w:p>
        </w:tc>
        <w:tc>
          <w:tcPr>
            <w:tcW w:w="638" w:type="dxa"/>
            <w:tcBorders>
              <w:top w:val="single" w:sz="4" w:space="0" w:color="auto"/>
              <w:left w:val="nil"/>
              <w:bottom w:val="single" w:sz="4" w:space="0" w:color="auto"/>
              <w:right w:val="single" w:sz="4" w:space="0" w:color="FFFFFF" w:themeColor="background1"/>
            </w:tcBorders>
            <w:shd w:val="clear" w:color="auto" w:fill="D9D9D9" w:themeFill="background1" w:themeFillShade="D9"/>
            <w:noWrap/>
            <w:vAlign w:val="bottom"/>
            <w:hideMark/>
          </w:tcPr>
          <w:p w14:paraId="08312DF1"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2,9</w:t>
            </w:r>
          </w:p>
        </w:tc>
        <w:tc>
          <w:tcPr>
            <w:tcW w:w="805" w:type="dxa"/>
            <w:tcBorders>
              <w:top w:val="single" w:sz="4" w:space="0" w:color="auto"/>
              <w:left w:val="nil"/>
              <w:bottom w:val="single" w:sz="4" w:space="0" w:color="auto"/>
              <w:right w:val="single" w:sz="4" w:space="0" w:color="FFFFFF" w:themeColor="background1"/>
            </w:tcBorders>
            <w:shd w:val="clear" w:color="auto" w:fill="D9D9D9" w:themeFill="background1" w:themeFillShade="D9"/>
            <w:noWrap/>
            <w:vAlign w:val="bottom"/>
            <w:hideMark/>
          </w:tcPr>
          <w:p w14:paraId="61BC34D1"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19.146,2</w:t>
            </w:r>
          </w:p>
        </w:tc>
        <w:tc>
          <w:tcPr>
            <w:tcW w:w="806" w:type="dxa"/>
            <w:tcBorders>
              <w:top w:val="single" w:sz="4" w:space="0" w:color="auto"/>
              <w:left w:val="nil"/>
              <w:bottom w:val="single" w:sz="4" w:space="0" w:color="auto"/>
              <w:right w:val="single" w:sz="4" w:space="0" w:color="FFFFFF" w:themeColor="background1"/>
            </w:tcBorders>
            <w:shd w:val="clear" w:color="auto" w:fill="D9D9D9" w:themeFill="background1" w:themeFillShade="D9"/>
            <w:noWrap/>
            <w:vAlign w:val="bottom"/>
            <w:hideMark/>
          </w:tcPr>
          <w:p w14:paraId="0C430D98"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23.764,1</w:t>
            </w:r>
          </w:p>
        </w:tc>
        <w:tc>
          <w:tcPr>
            <w:tcW w:w="806" w:type="dxa"/>
            <w:tcBorders>
              <w:top w:val="single" w:sz="4" w:space="0" w:color="auto"/>
              <w:left w:val="nil"/>
              <w:bottom w:val="single" w:sz="4" w:space="0" w:color="auto"/>
              <w:right w:val="nil"/>
            </w:tcBorders>
            <w:shd w:val="clear" w:color="auto" w:fill="D9D9D9" w:themeFill="background1" w:themeFillShade="D9"/>
            <w:noWrap/>
            <w:vAlign w:val="bottom"/>
            <w:hideMark/>
          </w:tcPr>
          <w:p w14:paraId="036D47A1"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24,1</w:t>
            </w:r>
          </w:p>
        </w:tc>
        <w:tc>
          <w:tcPr>
            <w:tcW w:w="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261A2F0"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275,2</w:t>
            </w:r>
          </w:p>
        </w:tc>
      </w:tr>
      <w:tr w:rsidR="00DD3B76" w14:paraId="36D0552F" w14:textId="77777777" w:rsidTr="00B20E50">
        <w:tc>
          <w:tcPr>
            <w:tcW w:w="1838" w:type="dxa"/>
            <w:tcBorders>
              <w:top w:val="nil"/>
              <w:left w:val="single" w:sz="4" w:space="0" w:color="auto"/>
              <w:bottom w:val="single" w:sz="4" w:space="0" w:color="FFFFFF" w:themeColor="background1"/>
              <w:right w:val="nil"/>
            </w:tcBorders>
            <w:shd w:val="clear" w:color="auto" w:fill="auto"/>
            <w:vAlign w:val="bottom"/>
            <w:hideMark/>
          </w:tcPr>
          <w:p w14:paraId="18B3A404" w14:textId="77777777" w:rsidR="00DD3B76" w:rsidRPr="0036109B" w:rsidRDefault="00DD3B76" w:rsidP="00B20E50">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Norwegen</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3EA7E92C"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0,0</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4AA90DE8"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30,4</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52875DB7"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38,5</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2E23068E"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26,8</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0BF3D98"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0,1</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3AAB90D"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896,1</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789F07B"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976,1</w:t>
            </w:r>
          </w:p>
        </w:tc>
        <w:tc>
          <w:tcPr>
            <w:tcW w:w="806" w:type="dxa"/>
            <w:tcBorders>
              <w:top w:val="nil"/>
              <w:left w:val="nil"/>
              <w:bottom w:val="single" w:sz="4" w:space="0" w:color="FFFFFF" w:themeColor="background1"/>
              <w:right w:val="nil"/>
            </w:tcBorders>
            <w:shd w:val="clear" w:color="auto" w:fill="auto"/>
            <w:noWrap/>
            <w:vAlign w:val="bottom"/>
            <w:hideMark/>
          </w:tcPr>
          <w:p w14:paraId="21DB6079"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8,9</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7810C7DD"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2.534,4</w:t>
            </w:r>
          </w:p>
        </w:tc>
      </w:tr>
      <w:tr w:rsidR="00DD3B76" w14:paraId="7E427D96" w14:textId="77777777" w:rsidTr="00B20E50">
        <w:tc>
          <w:tcPr>
            <w:tcW w:w="1838" w:type="dxa"/>
            <w:tcBorders>
              <w:top w:val="nil"/>
              <w:left w:val="single" w:sz="4" w:space="0" w:color="auto"/>
              <w:bottom w:val="single" w:sz="4" w:space="0" w:color="FFFFFF" w:themeColor="background1"/>
              <w:right w:val="nil"/>
            </w:tcBorders>
            <w:shd w:val="clear" w:color="auto" w:fill="auto"/>
            <w:vAlign w:val="bottom"/>
            <w:hideMark/>
          </w:tcPr>
          <w:p w14:paraId="7160B520" w14:textId="77777777" w:rsidR="00DD3B76" w:rsidRPr="0036109B" w:rsidRDefault="00DD3B76" w:rsidP="00B20E50">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Schweiz</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261190A7"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0,1</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0AE70C3F"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1.062,9</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5CCD7B7E"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639,3</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520769DD"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-39,9</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1751C01"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1,4</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4C0083E"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11.084,4</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608D6A4"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10.930,3</w:t>
            </w:r>
          </w:p>
        </w:tc>
        <w:tc>
          <w:tcPr>
            <w:tcW w:w="806" w:type="dxa"/>
            <w:tcBorders>
              <w:top w:val="nil"/>
              <w:left w:val="nil"/>
              <w:bottom w:val="single" w:sz="4" w:space="0" w:color="FFFFFF" w:themeColor="background1"/>
              <w:right w:val="nil"/>
            </w:tcBorders>
            <w:shd w:val="clear" w:color="auto" w:fill="auto"/>
            <w:noWrap/>
            <w:vAlign w:val="bottom"/>
            <w:hideMark/>
          </w:tcPr>
          <w:p w14:paraId="2C1F25AF"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-1,4</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41F56578"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1.709,7</w:t>
            </w:r>
          </w:p>
        </w:tc>
      </w:tr>
      <w:tr w:rsidR="00DD3B76" w14:paraId="6BB892F4" w14:textId="77777777" w:rsidTr="00B20E50">
        <w:tc>
          <w:tcPr>
            <w:tcW w:w="1838" w:type="dxa"/>
            <w:tcBorders>
              <w:top w:val="nil"/>
              <w:left w:val="single" w:sz="4" w:space="0" w:color="auto"/>
              <w:bottom w:val="single" w:sz="4" w:space="0" w:color="FFFFFF" w:themeColor="background1"/>
              <w:right w:val="nil"/>
            </w:tcBorders>
            <w:shd w:val="clear" w:color="auto" w:fill="auto"/>
            <w:vAlign w:val="bottom"/>
            <w:hideMark/>
          </w:tcPr>
          <w:p w14:paraId="57D8F141" w14:textId="77777777" w:rsidR="00DD3B76" w:rsidRPr="0036109B" w:rsidRDefault="00DD3B76" w:rsidP="00B20E50">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Türkei</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38AC3DEE"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3,8</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42D09BD8"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46.790,9</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57F772C7"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46.729,1</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4AFB16CE"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-0,1</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DA6C6DD"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0,1</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227C096"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230,1</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A140C16"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466,4</w:t>
            </w:r>
          </w:p>
        </w:tc>
        <w:tc>
          <w:tcPr>
            <w:tcW w:w="806" w:type="dxa"/>
            <w:tcBorders>
              <w:top w:val="nil"/>
              <w:left w:val="nil"/>
              <w:bottom w:val="single" w:sz="4" w:space="0" w:color="FFFFFF" w:themeColor="background1"/>
              <w:right w:val="nil"/>
            </w:tcBorders>
            <w:shd w:val="clear" w:color="auto" w:fill="auto"/>
            <w:noWrap/>
            <w:vAlign w:val="bottom"/>
            <w:hideMark/>
          </w:tcPr>
          <w:p w14:paraId="1E20A0C7"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102,7</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64C4C4A3"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1,0</w:t>
            </w:r>
          </w:p>
        </w:tc>
      </w:tr>
      <w:tr w:rsidR="00DD3B76" w14:paraId="40E67E6D" w14:textId="77777777" w:rsidTr="00B20E50">
        <w:tc>
          <w:tcPr>
            <w:tcW w:w="1838" w:type="dxa"/>
            <w:tcBorders>
              <w:top w:val="nil"/>
              <w:left w:val="single" w:sz="4" w:space="0" w:color="auto"/>
              <w:bottom w:val="single" w:sz="4" w:space="0" w:color="FFFFFF" w:themeColor="background1"/>
              <w:right w:val="nil"/>
            </w:tcBorders>
            <w:shd w:val="clear" w:color="auto" w:fill="auto"/>
            <w:vAlign w:val="bottom"/>
            <w:hideMark/>
          </w:tcPr>
          <w:p w14:paraId="22EA9081" w14:textId="77777777" w:rsidR="00DD3B76" w:rsidRPr="0036109B" w:rsidRDefault="00DD3B76" w:rsidP="00B20E50">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Bosnien-Herzegowina</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1BB67411"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0,2</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418F636D"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2.060,8</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34E62FBB"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2.108,0</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7DC1D852"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2,3</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094B542"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0,0</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3FA5502"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13,0</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59BF1C3"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27,0</w:t>
            </w:r>
          </w:p>
        </w:tc>
        <w:tc>
          <w:tcPr>
            <w:tcW w:w="806" w:type="dxa"/>
            <w:tcBorders>
              <w:top w:val="nil"/>
              <w:left w:val="nil"/>
              <w:bottom w:val="single" w:sz="4" w:space="0" w:color="FFFFFF" w:themeColor="background1"/>
              <w:right w:val="nil"/>
            </w:tcBorders>
            <w:shd w:val="clear" w:color="auto" w:fill="auto"/>
            <w:noWrap/>
            <w:vAlign w:val="bottom"/>
            <w:hideMark/>
          </w:tcPr>
          <w:p w14:paraId="6A969CFB"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107,3</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2F112C8A"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1,3</w:t>
            </w:r>
          </w:p>
        </w:tc>
      </w:tr>
      <w:tr w:rsidR="00DD3B76" w14:paraId="4D44F5EC" w14:textId="77777777" w:rsidTr="00B20E50">
        <w:tc>
          <w:tcPr>
            <w:tcW w:w="1838" w:type="dxa"/>
            <w:tcBorders>
              <w:top w:val="nil"/>
              <w:left w:val="single" w:sz="4" w:space="0" w:color="auto"/>
              <w:bottom w:val="single" w:sz="4" w:space="0" w:color="FFFFFF" w:themeColor="background1"/>
              <w:right w:val="nil"/>
            </w:tcBorders>
            <w:shd w:val="clear" w:color="auto" w:fill="auto"/>
            <w:vAlign w:val="bottom"/>
            <w:hideMark/>
          </w:tcPr>
          <w:p w14:paraId="658D02B2" w14:textId="77777777" w:rsidR="00DD3B76" w:rsidRPr="0036109B" w:rsidRDefault="00DD3B76" w:rsidP="00B20E50">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Kosovo</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6DAD6477"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0,1</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2FF42876"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763,2</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44C0FAD4"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825,3</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3A636731"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8,1</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27A83EB"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0,0</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1237BEF"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53,7</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9561DB8"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49,9</w:t>
            </w:r>
          </w:p>
        </w:tc>
        <w:tc>
          <w:tcPr>
            <w:tcW w:w="806" w:type="dxa"/>
            <w:tcBorders>
              <w:top w:val="nil"/>
              <w:left w:val="nil"/>
              <w:bottom w:val="single" w:sz="4" w:space="0" w:color="FFFFFF" w:themeColor="background1"/>
              <w:right w:val="nil"/>
            </w:tcBorders>
            <w:shd w:val="clear" w:color="auto" w:fill="auto"/>
            <w:noWrap/>
            <w:vAlign w:val="bottom"/>
            <w:hideMark/>
          </w:tcPr>
          <w:p w14:paraId="07BF07E5"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-7,0</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469E9849"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6,0</w:t>
            </w:r>
          </w:p>
        </w:tc>
      </w:tr>
      <w:tr w:rsidR="00DD3B76" w14:paraId="1D2DDB9E" w14:textId="77777777" w:rsidTr="00B20E50">
        <w:tc>
          <w:tcPr>
            <w:tcW w:w="1838" w:type="dxa"/>
            <w:tcBorders>
              <w:top w:val="nil"/>
              <w:left w:val="single" w:sz="4" w:space="0" w:color="auto"/>
              <w:bottom w:val="single" w:sz="4" w:space="0" w:color="FFFFFF" w:themeColor="background1"/>
              <w:right w:val="nil"/>
            </w:tcBorders>
            <w:shd w:val="clear" w:color="auto" w:fill="auto"/>
            <w:vAlign w:val="bottom"/>
            <w:hideMark/>
          </w:tcPr>
          <w:p w14:paraId="699B2A8F" w14:textId="77777777" w:rsidR="00DD3B76" w:rsidRPr="0036109B" w:rsidRDefault="00DD3B76" w:rsidP="00B20E50">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Mazedonien</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00BCA943"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0,0</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60B625BC"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727,3</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46D2988E"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437,8</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18335D2D"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-39,8</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58A35CF"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0,0</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23EEAFE"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58,6</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2C9CCDE"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54,5</w:t>
            </w:r>
          </w:p>
        </w:tc>
        <w:tc>
          <w:tcPr>
            <w:tcW w:w="806" w:type="dxa"/>
            <w:tcBorders>
              <w:top w:val="nil"/>
              <w:left w:val="nil"/>
              <w:bottom w:val="single" w:sz="4" w:space="0" w:color="FFFFFF" w:themeColor="background1"/>
              <w:right w:val="nil"/>
            </w:tcBorders>
            <w:shd w:val="clear" w:color="auto" w:fill="auto"/>
            <w:noWrap/>
            <w:vAlign w:val="bottom"/>
            <w:hideMark/>
          </w:tcPr>
          <w:p w14:paraId="72C53C22"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-7,0</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13A0DC3D"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12,4</w:t>
            </w:r>
          </w:p>
        </w:tc>
      </w:tr>
      <w:tr w:rsidR="00DD3B76" w14:paraId="2BD1D5A9" w14:textId="77777777" w:rsidTr="00B20E50">
        <w:tc>
          <w:tcPr>
            <w:tcW w:w="1838" w:type="dxa"/>
            <w:tcBorders>
              <w:top w:val="nil"/>
              <w:left w:val="single" w:sz="4" w:space="0" w:color="auto"/>
              <w:bottom w:val="single" w:sz="4" w:space="0" w:color="FFFFFF" w:themeColor="background1"/>
              <w:right w:val="nil"/>
            </w:tcBorders>
            <w:shd w:val="clear" w:color="auto" w:fill="auto"/>
            <w:vAlign w:val="bottom"/>
            <w:hideMark/>
          </w:tcPr>
          <w:p w14:paraId="034EEC82" w14:textId="77777777" w:rsidR="00DD3B76" w:rsidRPr="0036109B" w:rsidRDefault="00DD3B76" w:rsidP="00B20E50">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Serbien</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05D3DBDF"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0,7</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2BA6A6AC"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8.768,2</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3354E8D8"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8.230,2</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5B75854A"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-6,1</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6874FC5"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0,0</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00C1FAB"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152,1</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C27BA8F"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213,5</w:t>
            </w:r>
          </w:p>
        </w:tc>
        <w:tc>
          <w:tcPr>
            <w:tcW w:w="806" w:type="dxa"/>
            <w:tcBorders>
              <w:top w:val="nil"/>
              <w:left w:val="nil"/>
              <w:bottom w:val="single" w:sz="4" w:space="0" w:color="FFFFFF" w:themeColor="background1"/>
              <w:right w:val="nil"/>
            </w:tcBorders>
            <w:shd w:val="clear" w:color="auto" w:fill="auto"/>
            <w:noWrap/>
            <w:vAlign w:val="bottom"/>
            <w:hideMark/>
          </w:tcPr>
          <w:p w14:paraId="1B2CFF2E"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40,4</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28464BAC"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2,6</w:t>
            </w:r>
          </w:p>
        </w:tc>
      </w:tr>
      <w:tr w:rsidR="00DD3B76" w14:paraId="5BE91F78" w14:textId="77777777" w:rsidTr="00B20E50">
        <w:tc>
          <w:tcPr>
            <w:tcW w:w="1838" w:type="dxa"/>
            <w:tcBorders>
              <w:top w:val="nil"/>
              <w:left w:val="single" w:sz="4" w:space="0" w:color="auto"/>
              <w:bottom w:val="single" w:sz="4" w:space="0" w:color="FFFFFF" w:themeColor="background1"/>
              <w:right w:val="nil"/>
            </w:tcBorders>
            <w:shd w:val="clear" w:color="auto" w:fill="auto"/>
            <w:vAlign w:val="bottom"/>
            <w:hideMark/>
          </w:tcPr>
          <w:p w14:paraId="2BFE7582" w14:textId="77777777" w:rsidR="00DD3B76" w:rsidRPr="0036109B" w:rsidRDefault="00DD3B76" w:rsidP="00B20E50">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Albanien</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5BEED025"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0,0</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73B40610"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885,4</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5C597FDC"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336,9</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708AF210"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-62,0</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D75332B"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0,0</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438CD11"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7,4</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21FD3DB"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8,6</w:t>
            </w:r>
          </w:p>
        </w:tc>
        <w:tc>
          <w:tcPr>
            <w:tcW w:w="806" w:type="dxa"/>
            <w:tcBorders>
              <w:top w:val="nil"/>
              <w:left w:val="nil"/>
              <w:bottom w:val="single" w:sz="4" w:space="0" w:color="FFFFFF" w:themeColor="background1"/>
              <w:right w:val="nil"/>
            </w:tcBorders>
            <w:shd w:val="clear" w:color="auto" w:fill="auto"/>
            <w:noWrap/>
            <w:vAlign w:val="bottom"/>
            <w:hideMark/>
          </w:tcPr>
          <w:p w14:paraId="1A0F2166"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16,6</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180F94F"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2,6</w:t>
            </w:r>
          </w:p>
        </w:tc>
      </w:tr>
      <w:tr w:rsidR="00DD3B76" w14:paraId="70CCFA8F" w14:textId="77777777" w:rsidTr="00B20E50">
        <w:tc>
          <w:tcPr>
            <w:tcW w:w="1838" w:type="dxa"/>
            <w:tcBorders>
              <w:top w:val="nil"/>
              <w:left w:val="single" w:sz="4" w:space="0" w:color="auto"/>
              <w:bottom w:val="single" w:sz="4" w:space="0" w:color="FFFFFF" w:themeColor="background1"/>
              <w:right w:val="nil"/>
            </w:tcBorders>
            <w:shd w:val="clear" w:color="auto" w:fill="auto"/>
            <w:vAlign w:val="bottom"/>
            <w:hideMark/>
          </w:tcPr>
          <w:p w14:paraId="19691B48" w14:textId="77777777" w:rsidR="00DD3B76" w:rsidRPr="0036109B" w:rsidRDefault="00DD3B76" w:rsidP="00B20E50">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Ukraine</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0486714"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0,9</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24A766E0"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9.947,2</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4522558C"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10.996,4</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5138C236"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10,5</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97F701B"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0,0</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8FC7128"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150,6</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78DF1F6"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85,1</w:t>
            </w:r>
          </w:p>
        </w:tc>
        <w:tc>
          <w:tcPr>
            <w:tcW w:w="806" w:type="dxa"/>
            <w:tcBorders>
              <w:top w:val="nil"/>
              <w:left w:val="nil"/>
              <w:bottom w:val="single" w:sz="4" w:space="0" w:color="FFFFFF" w:themeColor="background1"/>
              <w:right w:val="nil"/>
            </w:tcBorders>
            <w:shd w:val="clear" w:color="auto" w:fill="auto"/>
            <w:noWrap/>
            <w:vAlign w:val="bottom"/>
            <w:hideMark/>
          </w:tcPr>
          <w:p w14:paraId="6B882988"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-43,5</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61AE24F7"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0,8</w:t>
            </w:r>
          </w:p>
        </w:tc>
      </w:tr>
      <w:tr w:rsidR="00DD3B76" w14:paraId="7C7AD732" w14:textId="77777777" w:rsidTr="00B20E50">
        <w:tc>
          <w:tcPr>
            <w:tcW w:w="1838" w:type="dxa"/>
            <w:tcBorders>
              <w:top w:val="nil"/>
              <w:left w:val="single" w:sz="4" w:space="0" w:color="auto"/>
              <w:bottom w:val="single" w:sz="4" w:space="0" w:color="FFFFFF" w:themeColor="background1"/>
              <w:right w:val="nil"/>
            </w:tcBorders>
            <w:shd w:val="clear" w:color="auto" w:fill="auto"/>
            <w:vAlign w:val="bottom"/>
            <w:hideMark/>
          </w:tcPr>
          <w:p w14:paraId="02B53032" w14:textId="77777777" w:rsidR="00DD3B76" w:rsidRPr="0036109B" w:rsidRDefault="00DD3B76" w:rsidP="00B20E50">
            <w:pPr>
              <w:spacing w:after="0" w:line="240" w:lineRule="auto"/>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Weißrussland</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C06A588"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0,1</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26095B87"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1.006,3</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50092408"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1.071,0</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09B82685"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6,4</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8AA6719"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0,0</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C421F6C"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0,4</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FBC3718"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0,7</w:t>
            </w:r>
          </w:p>
        </w:tc>
        <w:tc>
          <w:tcPr>
            <w:tcW w:w="806" w:type="dxa"/>
            <w:tcBorders>
              <w:top w:val="nil"/>
              <w:left w:val="nil"/>
              <w:bottom w:val="single" w:sz="4" w:space="0" w:color="FFFFFF" w:themeColor="background1"/>
              <w:right w:val="nil"/>
            </w:tcBorders>
            <w:shd w:val="clear" w:color="auto" w:fill="auto"/>
            <w:noWrap/>
            <w:vAlign w:val="bottom"/>
            <w:hideMark/>
          </w:tcPr>
          <w:p w14:paraId="029A6ACA"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51,7</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78FF7D67" w14:textId="77777777" w:rsidR="00DD3B76" w:rsidRPr="0036109B" w:rsidRDefault="00DD3B76" w:rsidP="00B20E50">
            <w:pPr>
              <w:spacing w:after="0" w:line="240" w:lineRule="auto"/>
              <w:jc w:val="right"/>
              <w:rPr>
                <w:rFonts w:eastAsia="Times New Roman" w:cstheme="minorHAnsi"/>
                <w:color w:val="000000"/>
                <w:sz w:val="14"/>
                <w:szCs w:val="14"/>
                <w:lang w:eastAsia="nl-BE"/>
              </w:rPr>
            </w:pPr>
            <w:r w:rsidRPr="0036109B">
              <w:rPr>
                <w:rFonts w:eastAsia="Times New Roman" w:cstheme="minorHAnsi"/>
                <w:color w:val="000000"/>
                <w:sz w:val="14"/>
                <w:szCs w:val="14"/>
                <w:lang w:val="de" w:eastAsia="nl-BE"/>
              </w:rPr>
              <w:t>0,1</w:t>
            </w:r>
          </w:p>
        </w:tc>
      </w:tr>
      <w:tr w:rsidR="00DD3B76" w14:paraId="4F8518AB" w14:textId="77777777" w:rsidTr="00B20E50">
        <w:tc>
          <w:tcPr>
            <w:tcW w:w="1838" w:type="dxa"/>
            <w:tcBorders>
              <w:top w:val="nil"/>
              <w:left w:val="single" w:sz="4" w:space="0" w:color="auto"/>
              <w:bottom w:val="single" w:sz="4" w:space="0" w:color="FFFFFF" w:themeColor="background1"/>
              <w:right w:val="nil"/>
            </w:tcBorders>
            <w:shd w:val="clear" w:color="auto" w:fill="BFBFBF" w:themeFill="background1" w:themeFillShade="BF"/>
            <w:vAlign w:val="bottom"/>
          </w:tcPr>
          <w:p w14:paraId="0F9E96F9" w14:textId="77777777" w:rsidR="00DD3B76" w:rsidRPr="00FF4AA5" w:rsidRDefault="00DD3B76" w:rsidP="00B20E50">
            <w:pPr>
              <w:spacing w:after="0" w:line="240" w:lineRule="auto"/>
              <w:rPr>
                <w:rFonts w:eastAsia="Times New Roman" w:cstheme="minorHAnsi"/>
                <w:b/>
                <w:bCs/>
                <w:color w:val="000000"/>
                <w:sz w:val="14"/>
                <w:szCs w:val="14"/>
                <w:lang w:eastAsia="nl-BE"/>
              </w:rPr>
            </w:pPr>
            <w:r w:rsidRPr="00FF4AA5">
              <w:rPr>
                <w:rFonts w:eastAsia="Times New Roman" w:cstheme="minorHAnsi"/>
                <w:b/>
                <w:bCs/>
                <w:color w:val="000000"/>
                <w:sz w:val="14"/>
                <w:szCs w:val="14"/>
                <w:lang w:val="de" w:eastAsia="nl-BE"/>
              </w:rPr>
              <w:t>Rest von Europa</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BFBFBF" w:themeFill="background1" w:themeFillShade="BF"/>
            <w:vAlign w:val="bottom"/>
          </w:tcPr>
          <w:p w14:paraId="52128108" w14:textId="77777777" w:rsidR="00DD3B76" w:rsidRPr="00FF4AA5" w:rsidRDefault="00DD3B76" w:rsidP="00B20E50">
            <w:pPr>
              <w:spacing w:after="0" w:line="240" w:lineRule="auto"/>
              <w:jc w:val="right"/>
              <w:rPr>
                <w:rFonts w:eastAsia="Times New Roman"/>
                <w:b/>
                <w:bCs/>
                <w:color w:val="000000"/>
                <w:sz w:val="14"/>
                <w:szCs w:val="14"/>
                <w:lang w:eastAsia="nl-BE"/>
              </w:rPr>
            </w:pPr>
            <w:r w:rsidRPr="37382CDB">
              <w:rPr>
                <w:rFonts w:eastAsia="Times New Roman"/>
                <w:b/>
                <w:bCs/>
                <w:color w:val="000000" w:themeColor="text1"/>
                <w:sz w:val="14"/>
                <w:szCs w:val="14"/>
                <w:lang w:val="de" w:eastAsia="nl-BE"/>
              </w:rPr>
              <w:t>5,8</w:t>
            </w:r>
          </w:p>
        </w:tc>
        <w:tc>
          <w:tcPr>
            <w:tcW w:w="896" w:type="dxa"/>
            <w:tcBorders>
              <w:top w:val="nil"/>
              <w:left w:val="nil"/>
              <w:bottom w:val="single" w:sz="4" w:space="0" w:color="FFFFFF" w:themeColor="background1"/>
              <w:right w:val="single" w:sz="4" w:space="0" w:color="FFFFFF" w:themeColor="background1"/>
            </w:tcBorders>
            <w:shd w:val="clear" w:color="auto" w:fill="BFBFBF" w:themeFill="background1" w:themeFillShade="BF"/>
            <w:vAlign w:val="bottom"/>
          </w:tcPr>
          <w:p w14:paraId="2AED010D" w14:textId="77777777" w:rsidR="00DD3B76" w:rsidRPr="00FF4AA5" w:rsidRDefault="00DD3B76" w:rsidP="00B20E50">
            <w:pPr>
              <w:spacing w:after="0" w:line="240" w:lineRule="auto"/>
              <w:jc w:val="right"/>
              <w:rPr>
                <w:rFonts w:eastAsia="Times New Roman"/>
                <w:b/>
                <w:bCs/>
                <w:color w:val="000000"/>
                <w:sz w:val="14"/>
                <w:szCs w:val="14"/>
                <w:lang w:eastAsia="nl-BE"/>
              </w:rPr>
            </w:pPr>
            <w:r w:rsidRPr="37382CDB">
              <w:rPr>
                <w:rFonts w:eastAsia="Times New Roman"/>
                <w:b/>
                <w:bCs/>
                <w:color w:val="000000" w:themeColor="text1"/>
                <w:sz w:val="14"/>
                <w:szCs w:val="14"/>
                <w:lang w:val="de" w:eastAsia="nl-BE"/>
              </w:rPr>
              <w:t>72.233,1</w:t>
            </w:r>
          </w:p>
        </w:tc>
        <w:tc>
          <w:tcPr>
            <w:tcW w:w="992" w:type="dxa"/>
            <w:tcBorders>
              <w:top w:val="nil"/>
              <w:left w:val="nil"/>
              <w:bottom w:val="single" w:sz="4" w:space="0" w:color="FFFFFF" w:themeColor="background1"/>
              <w:right w:val="single" w:sz="4" w:space="0" w:color="FFFFFF" w:themeColor="background1"/>
            </w:tcBorders>
            <w:shd w:val="clear" w:color="auto" w:fill="BFBFBF" w:themeFill="background1" w:themeFillShade="BF"/>
            <w:vAlign w:val="bottom"/>
          </w:tcPr>
          <w:p w14:paraId="614E0DD6" w14:textId="77777777" w:rsidR="00DD3B76" w:rsidRPr="00FF4AA5" w:rsidRDefault="00DD3B76" w:rsidP="00B20E50">
            <w:pPr>
              <w:spacing w:after="0" w:line="240" w:lineRule="auto"/>
              <w:jc w:val="right"/>
              <w:rPr>
                <w:rFonts w:eastAsia="Times New Roman"/>
                <w:b/>
                <w:bCs/>
                <w:color w:val="000000"/>
                <w:sz w:val="14"/>
                <w:szCs w:val="14"/>
                <w:lang w:eastAsia="nl-BE"/>
              </w:rPr>
            </w:pPr>
            <w:r w:rsidRPr="37382CDB">
              <w:rPr>
                <w:rFonts w:eastAsia="Times New Roman"/>
                <w:b/>
                <w:bCs/>
                <w:color w:val="000000" w:themeColor="text1"/>
                <w:sz w:val="14"/>
                <w:szCs w:val="14"/>
                <w:lang w:val="de" w:eastAsia="nl-BE"/>
              </w:rPr>
              <w:t>71.465,3</w:t>
            </w:r>
          </w:p>
        </w:tc>
        <w:tc>
          <w:tcPr>
            <w:tcW w:w="735" w:type="dxa"/>
            <w:tcBorders>
              <w:top w:val="nil"/>
              <w:left w:val="nil"/>
              <w:bottom w:val="single" w:sz="4" w:space="0" w:color="FFFFFF" w:themeColor="background1"/>
              <w:right w:val="single" w:sz="4" w:space="0" w:color="auto"/>
            </w:tcBorders>
            <w:shd w:val="clear" w:color="auto" w:fill="BFBFBF" w:themeFill="background1" w:themeFillShade="BF"/>
            <w:noWrap/>
            <w:vAlign w:val="bottom"/>
          </w:tcPr>
          <w:p w14:paraId="0A75BAD7" w14:textId="77777777" w:rsidR="00DD3B76" w:rsidRPr="00FF4AA5" w:rsidRDefault="00DD3B76" w:rsidP="00B20E50">
            <w:pPr>
              <w:spacing w:after="0" w:line="240" w:lineRule="auto"/>
              <w:jc w:val="right"/>
              <w:rPr>
                <w:rFonts w:eastAsia="Times New Roman"/>
                <w:b/>
                <w:bCs/>
                <w:color w:val="000000"/>
                <w:sz w:val="14"/>
                <w:szCs w:val="14"/>
                <w:lang w:eastAsia="nl-BE"/>
              </w:rPr>
            </w:pPr>
            <w:r w:rsidRPr="37382CDB">
              <w:rPr>
                <w:rFonts w:eastAsia="Times New Roman"/>
                <w:b/>
                <w:bCs/>
                <w:color w:val="000000" w:themeColor="text1"/>
                <w:sz w:val="14"/>
                <w:szCs w:val="14"/>
                <w:lang w:val="de" w:eastAsia="nl-BE"/>
              </w:rPr>
              <w:t>-1,1</w:t>
            </w:r>
          </w:p>
        </w:tc>
        <w:tc>
          <w:tcPr>
            <w:tcW w:w="638" w:type="dxa"/>
            <w:tcBorders>
              <w:top w:val="nil"/>
              <w:left w:val="nil"/>
              <w:bottom w:val="single" w:sz="4" w:space="0" w:color="FFFFFF" w:themeColor="background1"/>
              <w:right w:val="single" w:sz="4" w:space="0" w:color="FFFFFF" w:themeColor="background1"/>
            </w:tcBorders>
            <w:shd w:val="clear" w:color="auto" w:fill="BFBFBF" w:themeFill="background1" w:themeFillShade="BF"/>
            <w:noWrap/>
            <w:vAlign w:val="bottom"/>
          </w:tcPr>
          <w:p w14:paraId="618D7364" w14:textId="77777777" w:rsidR="00DD3B76" w:rsidRPr="00FF4AA5" w:rsidRDefault="00DD3B76" w:rsidP="00B20E50">
            <w:pPr>
              <w:spacing w:after="0" w:line="240" w:lineRule="auto"/>
              <w:jc w:val="right"/>
              <w:rPr>
                <w:rFonts w:eastAsia="Times New Roman"/>
                <w:b/>
                <w:bCs/>
                <w:color w:val="000000"/>
                <w:sz w:val="14"/>
                <w:szCs w:val="14"/>
                <w:lang w:eastAsia="nl-BE"/>
              </w:rPr>
            </w:pPr>
            <w:r w:rsidRPr="37382CDB">
              <w:rPr>
                <w:rFonts w:eastAsia="Times New Roman"/>
                <w:b/>
                <w:bCs/>
                <w:color w:val="000000" w:themeColor="text1"/>
                <w:sz w:val="14"/>
                <w:szCs w:val="14"/>
                <w:lang w:val="de" w:eastAsia="nl-BE"/>
              </w:rPr>
              <w:t>1,7</w:t>
            </w:r>
          </w:p>
        </w:tc>
        <w:tc>
          <w:tcPr>
            <w:tcW w:w="805" w:type="dxa"/>
            <w:tcBorders>
              <w:top w:val="nil"/>
              <w:left w:val="nil"/>
              <w:bottom w:val="single" w:sz="4" w:space="0" w:color="FFFFFF" w:themeColor="background1"/>
              <w:right w:val="single" w:sz="4" w:space="0" w:color="FFFFFF" w:themeColor="background1"/>
            </w:tcBorders>
            <w:shd w:val="clear" w:color="auto" w:fill="BFBFBF" w:themeFill="background1" w:themeFillShade="BF"/>
            <w:noWrap/>
            <w:vAlign w:val="bottom"/>
          </w:tcPr>
          <w:p w14:paraId="0A90A065" w14:textId="77777777" w:rsidR="00DD3B76" w:rsidRPr="00FF4AA5" w:rsidRDefault="00DD3B76" w:rsidP="00B20E50">
            <w:pPr>
              <w:spacing w:after="0" w:line="240" w:lineRule="auto"/>
              <w:jc w:val="right"/>
              <w:rPr>
                <w:rFonts w:eastAsia="Times New Roman"/>
                <w:b/>
                <w:bCs/>
                <w:color w:val="000000"/>
                <w:sz w:val="14"/>
                <w:szCs w:val="14"/>
                <w:lang w:eastAsia="nl-BE"/>
              </w:rPr>
            </w:pPr>
            <w:r w:rsidRPr="37382CDB">
              <w:rPr>
                <w:rFonts w:eastAsia="Times New Roman"/>
                <w:b/>
                <w:bCs/>
                <w:color w:val="000000" w:themeColor="text1"/>
                <w:sz w:val="14"/>
                <w:szCs w:val="14"/>
                <w:lang w:val="de" w:eastAsia="nl-BE"/>
              </w:rPr>
              <w:t>13.914,1</w:t>
            </w:r>
          </w:p>
        </w:tc>
        <w:tc>
          <w:tcPr>
            <w:tcW w:w="806" w:type="dxa"/>
            <w:tcBorders>
              <w:top w:val="nil"/>
              <w:left w:val="nil"/>
              <w:bottom w:val="single" w:sz="4" w:space="0" w:color="FFFFFF" w:themeColor="background1"/>
              <w:right w:val="single" w:sz="4" w:space="0" w:color="FFFFFF" w:themeColor="background1"/>
            </w:tcBorders>
            <w:shd w:val="clear" w:color="auto" w:fill="BFBFBF" w:themeFill="background1" w:themeFillShade="BF"/>
            <w:noWrap/>
            <w:vAlign w:val="bottom"/>
          </w:tcPr>
          <w:p w14:paraId="6965E6BB" w14:textId="77777777" w:rsidR="00DD3B76" w:rsidRPr="00FF4AA5" w:rsidRDefault="00DD3B76" w:rsidP="00B20E50">
            <w:pPr>
              <w:spacing w:after="0" w:line="240" w:lineRule="auto"/>
              <w:jc w:val="right"/>
              <w:rPr>
                <w:rFonts w:eastAsia="Times New Roman"/>
                <w:b/>
                <w:bCs/>
                <w:color w:val="000000"/>
                <w:sz w:val="14"/>
                <w:szCs w:val="14"/>
                <w:lang w:eastAsia="nl-BE"/>
              </w:rPr>
            </w:pPr>
            <w:r w:rsidRPr="37382CDB">
              <w:rPr>
                <w:rFonts w:eastAsia="Times New Roman"/>
                <w:b/>
                <w:bCs/>
                <w:color w:val="000000" w:themeColor="text1"/>
                <w:sz w:val="14"/>
                <w:szCs w:val="14"/>
                <w:lang w:val="de" w:eastAsia="nl-BE"/>
              </w:rPr>
              <w:t>14.100,8</w:t>
            </w:r>
          </w:p>
        </w:tc>
        <w:tc>
          <w:tcPr>
            <w:tcW w:w="806" w:type="dxa"/>
            <w:tcBorders>
              <w:top w:val="nil"/>
              <w:left w:val="nil"/>
              <w:bottom w:val="single" w:sz="4" w:space="0" w:color="FFFFFF" w:themeColor="background1"/>
              <w:right w:val="nil"/>
            </w:tcBorders>
            <w:shd w:val="clear" w:color="auto" w:fill="BFBFBF" w:themeFill="background1" w:themeFillShade="BF"/>
            <w:noWrap/>
            <w:vAlign w:val="bottom"/>
          </w:tcPr>
          <w:p w14:paraId="05517BF0" w14:textId="77777777" w:rsidR="00DD3B76" w:rsidRPr="00FF4AA5" w:rsidRDefault="00DD3B76" w:rsidP="00B20E50">
            <w:pPr>
              <w:spacing w:after="0" w:line="240" w:lineRule="auto"/>
              <w:jc w:val="right"/>
              <w:rPr>
                <w:rFonts w:eastAsia="Times New Roman"/>
                <w:b/>
                <w:bCs/>
                <w:color w:val="000000"/>
                <w:sz w:val="14"/>
                <w:szCs w:val="14"/>
                <w:lang w:eastAsia="nl-BE"/>
              </w:rPr>
            </w:pPr>
            <w:r w:rsidRPr="37382CDB">
              <w:rPr>
                <w:rFonts w:eastAsia="Times New Roman"/>
                <w:b/>
                <w:bCs/>
                <w:color w:val="000000" w:themeColor="text1"/>
                <w:sz w:val="14"/>
                <w:szCs w:val="14"/>
                <w:lang w:val="de" w:eastAsia="nl-BE"/>
              </w:rPr>
              <w:t>+1,3</w:t>
            </w:r>
          </w:p>
        </w:tc>
        <w:tc>
          <w:tcPr>
            <w:tcW w:w="784" w:type="dxa"/>
            <w:tcBorders>
              <w:top w:val="nil"/>
              <w:left w:val="single" w:sz="4" w:space="0" w:color="auto"/>
              <w:bottom w:val="single" w:sz="4" w:space="0" w:color="FFFFFF" w:themeColor="background1"/>
              <w:right w:val="single" w:sz="4" w:space="0" w:color="auto"/>
            </w:tcBorders>
            <w:shd w:val="clear" w:color="auto" w:fill="BFBFBF" w:themeFill="background1" w:themeFillShade="BF"/>
            <w:noWrap/>
            <w:vAlign w:val="bottom"/>
          </w:tcPr>
          <w:p w14:paraId="220C5E29" w14:textId="77777777" w:rsidR="00DD3B76" w:rsidRPr="00FF4AA5" w:rsidRDefault="00DD3B76" w:rsidP="00B20E50">
            <w:pPr>
              <w:spacing w:after="0" w:line="240" w:lineRule="auto"/>
              <w:jc w:val="right"/>
              <w:rPr>
                <w:rFonts w:eastAsia="Times New Roman"/>
                <w:b/>
                <w:bCs/>
                <w:color w:val="000000"/>
                <w:sz w:val="14"/>
                <w:szCs w:val="14"/>
                <w:lang w:eastAsia="nl-BE"/>
              </w:rPr>
            </w:pPr>
            <w:r w:rsidRPr="37382CDB">
              <w:rPr>
                <w:rFonts w:eastAsia="Times New Roman"/>
                <w:b/>
                <w:bCs/>
                <w:color w:val="000000" w:themeColor="text1"/>
                <w:sz w:val="14"/>
                <w:szCs w:val="14"/>
                <w:lang w:val="de" w:eastAsia="nl-BE"/>
              </w:rPr>
              <w:t>19,7</w:t>
            </w:r>
          </w:p>
        </w:tc>
      </w:tr>
      <w:tr w:rsidR="00DD3B76" w14:paraId="1BF2217E" w14:textId="77777777" w:rsidTr="00B20E50">
        <w:tc>
          <w:tcPr>
            <w:tcW w:w="1838"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401046CA" w14:textId="77777777" w:rsidR="00DD3B76" w:rsidRPr="0036109B" w:rsidRDefault="00DD3B76" w:rsidP="00B20E50">
            <w:pPr>
              <w:spacing w:after="0" w:line="240" w:lineRule="auto"/>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Nord-Amerika</w:t>
            </w:r>
          </w:p>
        </w:tc>
        <w:tc>
          <w:tcPr>
            <w:tcW w:w="805" w:type="dxa"/>
            <w:tcBorders>
              <w:top w:val="single" w:sz="4" w:space="0" w:color="auto"/>
              <w:left w:val="single" w:sz="4" w:space="0" w:color="auto"/>
              <w:bottom w:val="single" w:sz="4" w:space="0" w:color="auto"/>
              <w:right w:val="single" w:sz="4" w:space="0" w:color="FFFFFF" w:themeColor="background1"/>
            </w:tcBorders>
            <w:shd w:val="clear" w:color="auto" w:fill="D9D9D9" w:themeFill="background1" w:themeFillShade="D9"/>
            <w:vAlign w:val="bottom"/>
            <w:hideMark/>
          </w:tcPr>
          <w:p w14:paraId="4B789816"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0,3</w:t>
            </w:r>
          </w:p>
        </w:tc>
        <w:tc>
          <w:tcPr>
            <w:tcW w:w="896" w:type="dxa"/>
            <w:tcBorders>
              <w:top w:val="single" w:sz="4" w:space="0" w:color="auto"/>
              <w:left w:val="nil"/>
              <w:bottom w:val="single" w:sz="4" w:space="0" w:color="auto"/>
              <w:right w:val="single" w:sz="4" w:space="0" w:color="FFFFFF" w:themeColor="background1"/>
            </w:tcBorders>
            <w:shd w:val="clear" w:color="auto" w:fill="D9D9D9" w:themeFill="background1" w:themeFillShade="D9"/>
            <w:vAlign w:val="bottom"/>
            <w:hideMark/>
          </w:tcPr>
          <w:p w14:paraId="6C6F62A0"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4.180,4</w:t>
            </w:r>
          </w:p>
        </w:tc>
        <w:tc>
          <w:tcPr>
            <w:tcW w:w="992" w:type="dxa"/>
            <w:tcBorders>
              <w:top w:val="single" w:sz="4" w:space="0" w:color="auto"/>
              <w:left w:val="nil"/>
              <w:bottom w:val="single" w:sz="4" w:space="0" w:color="auto"/>
              <w:right w:val="single" w:sz="4" w:space="0" w:color="FFFFFF" w:themeColor="background1"/>
            </w:tcBorders>
            <w:shd w:val="clear" w:color="auto" w:fill="D9D9D9" w:themeFill="background1" w:themeFillShade="D9"/>
            <w:vAlign w:val="bottom"/>
            <w:hideMark/>
          </w:tcPr>
          <w:p w14:paraId="08277DC7"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3.522,3</w:t>
            </w:r>
          </w:p>
        </w:tc>
        <w:tc>
          <w:tcPr>
            <w:tcW w:w="73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E10F343"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-15,7</w:t>
            </w:r>
          </w:p>
        </w:tc>
        <w:tc>
          <w:tcPr>
            <w:tcW w:w="638" w:type="dxa"/>
            <w:tcBorders>
              <w:top w:val="single" w:sz="4" w:space="0" w:color="auto"/>
              <w:left w:val="nil"/>
              <w:bottom w:val="single" w:sz="4" w:space="0" w:color="auto"/>
              <w:right w:val="single" w:sz="4" w:space="0" w:color="FFFFFF" w:themeColor="background1"/>
            </w:tcBorders>
            <w:shd w:val="clear" w:color="auto" w:fill="D9D9D9" w:themeFill="background1" w:themeFillShade="D9"/>
            <w:noWrap/>
            <w:vAlign w:val="bottom"/>
            <w:hideMark/>
          </w:tcPr>
          <w:p w14:paraId="1B51457B"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3,6</w:t>
            </w:r>
          </w:p>
        </w:tc>
        <w:tc>
          <w:tcPr>
            <w:tcW w:w="805" w:type="dxa"/>
            <w:tcBorders>
              <w:top w:val="single" w:sz="4" w:space="0" w:color="auto"/>
              <w:left w:val="nil"/>
              <w:bottom w:val="single" w:sz="4" w:space="0" w:color="auto"/>
              <w:right w:val="single" w:sz="4" w:space="0" w:color="FFFFFF" w:themeColor="background1"/>
            </w:tcBorders>
            <w:shd w:val="clear" w:color="auto" w:fill="D9D9D9" w:themeFill="background1" w:themeFillShade="D9"/>
            <w:noWrap/>
            <w:vAlign w:val="bottom"/>
            <w:hideMark/>
          </w:tcPr>
          <w:p w14:paraId="17E34824"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20.759,4</w:t>
            </w:r>
          </w:p>
        </w:tc>
        <w:tc>
          <w:tcPr>
            <w:tcW w:w="806" w:type="dxa"/>
            <w:tcBorders>
              <w:top w:val="single" w:sz="4" w:space="0" w:color="auto"/>
              <w:left w:val="nil"/>
              <w:bottom w:val="single" w:sz="4" w:space="0" w:color="auto"/>
              <w:right w:val="single" w:sz="4" w:space="0" w:color="FFFFFF" w:themeColor="background1"/>
            </w:tcBorders>
            <w:shd w:val="clear" w:color="auto" w:fill="D9D9D9" w:themeFill="background1" w:themeFillShade="D9"/>
            <w:noWrap/>
            <w:vAlign w:val="bottom"/>
            <w:hideMark/>
          </w:tcPr>
          <w:p w14:paraId="0553595C"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28.815,7</w:t>
            </w:r>
          </w:p>
        </w:tc>
        <w:tc>
          <w:tcPr>
            <w:tcW w:w="806" w:type="dxa"/>
            <w:tcBorders>
              <w:top w:val="single" w:sz="4" w:space="0" w:color="auto"/>
              <w:left w:val="nil"/>
              <w:bottom w:val="single" w:sz="4" w:space="0" w:color="auto"/>
              <w:right w:val="nil"/>
            </w:tcBorders>
            <w:shd w:val="clear" w:color="auto" w:fill="D9D9D9" w:themeFill="background1" w:themeFillShade="D9"/>
            <w:noWrap/>
            <w:vAlign w:val="bottom"/>
            <w:hideMark/>
          </w:tcPr>
          <w:p w14:paraId="6997CE73"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38,8</w:t>
            </w:r>
          </w:p>
        </w:tc>
        <w:tc>
          <w:tcPr>
            <w:tcW w:w="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FD7FC2C"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818,1</w:t>
            </w:r>
          </w:p>
        </w:tc>
      </w:tr>
      <w:tr w:rsidR="00DD3B76" w14:paraId="0C6134CD" w14:textId="77777777" w:rsidTr="00B20E50">
        <w:tc>
          <w:tcPr>
            <w:tcW w:w="1838"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32FB9BD7" w14:textId="77777777" w:rsidR="00DD3B76" w:rsidRPr="0036109B" w:rsidRDefault="00DD3B76" w:rsidP="00B20E50">
            <w:pPr>
              <w:spacing w:after="0" w:line="240" w:lineRule="auto"/>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Lateinamerika</w:t>
            </w:r>
          </w:p>
        </w:tc>
        <w:tc>
          <w:tcPr>
            <w:tcW w:w="805" w:type="dxa"/>
            <w:tcBorders>
              <w:top w:val="single" w:sz="4" w:space="0" w:color="auto"/>
              <w:left w:val="single" w:sz="4" w:space="0" w:color="auto"/>
              <w:bottom w:val="single" w:sz="4" w:space="0" w:color="auto"/>
              <w:right w:val="single" w:sz="4" w:space="0" w:color="FFFFFF" w:themeColor="background1"/>
            </w:tcBorders>
            <w:shd w:val="clear" w:color="auto" w:fill="D9D9D9" w:themeFill="background1" w:themeFillShade="D9"/>
            <w:vAlign w:val="bottom"/>
            <w:hideMark/>
          </w:tcPr>
          <w:p w14:paraId="7996625D"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0,1</w:t>
            </w:r>
          </w:p>
        </w:tc>
        <w:tc>
          <w:tcPr>
            <w:tcW w:w="896" w:type="dxa"/>
            <w:tcBorders>
              <w:top w:val="single" w:sz="4" w:space="0" w:color="auto"/>
              <w:left w:val="nil"/>
              <w:bottom w:val="single" w:sz="4" w:space="0" w:color="auto"/>
              <w:right w:val="single" w:sz="4" w:space="0" w:color="FFFFFF" w:themeColor="background1"/>
            </w:tcBorders>
            <w:shd w:val="clear" w:color="auto" w:fill="D9D9D9" w:themeFill="background1" w:themeFillShade="D9"/>
            <w:vAlign w:val="bottom"/>
            <w:hideMark/>
          </w:tcPr>
          <w:p w14:paraId="19489322"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1.079,0</w:t>
            </w:r>
          </w:p>
        </w:tc>
        <w:tc>
          <w:tcPr>
            <w:tcW w:w="992" w:type="dxa"/>
            <w:tcBorders>
              <w:top w:val="single" w:sz="4" w:space="0" w:color="auto"/>
              <w:left w:val="nil"/>
              <w:bottom w:val="single" w:sz="4" w:space="0" w:color="auto"/>
              <w:right w:val="single" w:sz="4" w:space="0" w:color="FFFFFF" w:themeColor="background1"/>
            </w:tcBorders>
            <w:shd w:val="clear" w:color="auto" w:fill="D9D9D9" w:themeFill="background1" w:themeFillShade="D9"/>
            <w:vAlign w:val="bottom"/>
            <w:hideMark/>
          </w:tcPr>
          <w:p w14:paraId="104130E2"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1.351,6</w:t>
            </w:r>
          </w:p>
        </w:tc>
        <w:tc>
          <w:tcPr>
            <w:tcW w:w="73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FFD040D"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25,3</w:t>
            </w:r>
          </w:p>
        </w:tc>
        <w:tc>
          <w:tcPr>
            <w:tcW w:w="638" w:type="dxa"/>
            <w:tcBorders>
              <w:top w:val="single" w:sz="4" w:space="0" w:color="auto"/>
              <w:left w:val="nil"/>
              <w:bottom w:val="single" w:sz="4" w:space="0" w:color="auto"/>
              <w:right w:val="single" w:sz="4" w:space="0" w:color="FFFFFF" w:themeColor="background1"/>
            </w:tcBorders>
            <w:shd w:val="clear" w:color="auto" w:fill="D9D9D9" w:themeFill="background1" w:themeFillShade="D9"/>
            <w:noWrap/>
            <w:vAlign w:val="bottom"/>
            <w:hideMark/>
          </w:tcPr>
          <w:p w14:paraId="1891382C"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0,3</w:t>
            </w:r>
          </w:p>
        </w:tc>
        <w:tc>
          <w:tcPr>
            <w:tcW w:w="805" w:type="dxa"/>
            <w:tcBorders>
              <w:top w:val="single" w:sz="4" w:space="0" w:color="auto"/>
              <w:left w:val="nil"/>
              <w:bottom w:val="single" w:sz="4" w:space="0" w:color="auto"/>
              <w:right w:val="single" w:sz="4" w:space="0" w:color="FFFFFF" w:themeColor="background1"/>
            </w:tcBorders>
            <w:shd w:val="clear" w:color="auto" w:fill="D9D9D9" w:themeFill="background1" w:themeFillShade="D9"/>
            <w:noWrap/>
            <w:vAlign w:val="bottom"/>
            <w:hideMark/>
          </w:tcPr>
          <w:p w14:paraId="1624B479"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2.400,7</w:t>
            </w:r>
          </w:p>
        </w:tc>
        <w:tc>
          <w:tcPr>
            <w:tcW w:w="806" w:type="dxa"/>
            <w:tcBorders>
              <w:top w:val="single" w:sz="4" w:space="0" w:color="auto"/>
              <w:left w:val="nil"/>
              <w:bottom w:val="single" w:sz="4" w:space="0" w:color="auto"/>
              <w:right w:val="single" w:sz="4" w:space="0" w:color="FFFFFF" w:themeColor="background1"/>
            </w:tcBorders>
            <w:shd w:val="clear" w:color="auto" w:fill="D9D9D9" w:themeFill="background1" w:themeFillShade="D9"/>
            <w:noWrap/>
            <w:vAlign w:val="bottom"/>
            <w:hideMark/>
          </w:tcPr>
          <w:p w14:paraId="192C3A2F"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2.019,0</w:t>
            </w:r>
          </w:p>
        </w:tc>
        <w:tc>
          <w:tcPr>
            <w:tcW w:w="806" w:type="dxa"/>
            <w:tcBorders>
              <w:top w:val="single" w:sz="4" w:space="0" w:color="auto"/>
              <w:left w:val="nil"/>
              <w:bottom w:val="single" w:sz="4" w:space="0" w:color="auto"/>
              <w:right w:val="nil"/>
            </w:tcBorders>
            <w:shd w:val="clear" w:color="auto" w:fill="D9D9D9" w:themeFill="background1" w:themeFillShade="D9"/>
            <w:noWrap/>
            <w:vAlign w:val="bottom"/>
            <w:hideMark/>
          </w:tcPr>
          <w:p w14:paraId="50C0E7B4"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-15,9</w:t>
            </w:r>
          </w:p>
        </w:tc>
        <w:tc>
          <w:tcPr>
            <w:tcW w:w="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385BAF0"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149,4</w:t>
            </w:r>
          </w:p>
        </w:tc>
      </w:tr>
      <w:tr w:rsidR="00DD3B76" w14:paraId="0F9915E3" w14:textId="77777777" w:rsidTr="00B20E50">
        <w:tc>
          <w:tcPr>
            <w:tcW w:w="1838"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08334503" w14:textId="77777777" w:rsidR="00DD3B76" w:rsidRPr="0036109B" w:rsidRDefault="00DD3B76" w:rsidP="00B20E50">
            <w:pPr>
              <w:spacing w:after="0" w:line="240" w:lineRule="auto"/>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Afrika</w:t>
            </w:r>
          </w:p>
        </w:tc>
        <w:tc>
          <w:tcPr>
            <w:tcW w:w="805" w:type="dxa"/>
            <w:tcBorders>
              <w:top w:val="single" w:sz="4" w:space="0" w:color="auto"/>
              <w:left w:val="single" w:sz="4" w:space="0" w:color="auto"/>
              <w:bottom w:val="single" w:sz="4" w:space="0" w:color="auto"/>
              <w:right w:val="single" w:sz="4" w:space="0" w:color="FFFFFF" w:themeColor="background1"/>
            </w:tcBorders>
            <w:shd w:val="clear" w:color="auto" w:fill="D9D9D9" w:themeFill="background1" w:themeFillShade="D9"/>
            <w:vAlign w:val="bottom"/>
            <w:hideMark/>
          </w:tcPr>
          <w:p w14:paraId="31EB41D5"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0,1</w:t>
            </w:r>
          </w:p>
        </w:tc>
        <w:tc>
          <w:tcPr>
            <w:tcW w:w="896" w:type="dxa"/>
            <w:tcBorders>
              <w:top w:val="single" w:sz="4" w:space="0" w:color="auto"/>
              <w:left w:val="nil"/>
              <w:bottom w:val="single" w:sz="4" w:space="0" w:color="auto"/>
              <w:right w:val="single" w:sz="4" w:space="0" w:color="FFFFFF" w:themeColor="background1"/>
            </w:tcBorders>
            <w:shd w:val="clear" w:color="auto" w:fill="D9D9D9" w:themeFill="background1" w:themeFillShade="D9"/>
            <w:vAlign w:val="bottom"/>
            <w:hideMark/>
          </w:tcPr>
          <w:p w14:paraId="294955A2"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784,4</w:t>
            </w:r>
          </w:p>
        </w:tc>
        <w:tc>
          <w:tcPr>
            <w:tcW w:w="992" w:type="dxa"/>
            <w:tcBorders>
              <w:top w:val="single" w:sz="4" w:space="0" w:color="auto"/>
              <w:left w:val="nil"/>
              <w:bottom w:val="single" w:sz="4" w:space="0" w:color="auto"/>
              <w:right w:val="single" w:sz="4" w:space="0" w:color="FFFFFF" w:themeColor="background1"/>
            </w:tcBorders>
            <w:shd w:val="clear" w:color="auto" w:fill="D9D9D9" w:themeFill="background1" w:themeFillShade="D9"/>
            <w:vAlign w:val="bottom"/>
            <w:hideMark/>
          </w:tcPr>
          <w:p w14:paraId="7D66E5BD"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656,8</w:t>
            </w:r>
          </w:p>
        </w:tc>
        <w:tc>
          <w:tcPr>
            <w:tcW w:w="73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F888535"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-16,3</w:t>
            </w:r>
          </w:p>
        </w:tc>
        <w:tc>
          <w:tcPr>
            <w:tcW w:w="638" w:type="dxa"/>
            <w:tcBorders>
              <w:top w:val="single" w:sz="4" w:space="0" w:color="auto"/>
              <w:left w:val="nil"/>
              <w:bottom w:val="single" w:sz="4" w:space="0" w:color="auto"/>
              <w:right w:val="single" w:sz="4" w:space="0" w:color="FFFFFF" w:themeColor="background1"/>
            </w:tcBorders>
            <w:shd w:val="clear" w:color="auto" w:fill="D9D9D9" w:themeFill="background1" w:themeFillShade="D9"/>
            <w:noWrap/>
            <w:vAlign w:val="bottom"/>
            <w:hideMark/>
          </w:tcPr>
          <w:p w14:paraId="636B44B4"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1,5</w:t>
            </w:r>
          </w:p>
        </w:tc>
        <w:tc>
          <w:tcPr>
            <w:tcW w:w="805" w:type="dxa"/>
            <w:tcBorders>
              <w:top w:val="single" w:sz="4" w:space="0" w:color="auto"/>
              <w:left w:val="nil"/>
              <w:bottom w:val="single" w:sz="4" w:space="0" w:color="auto"/>
              <w:right w:val="single" w:sz="4" w:space="0" w:color="FFFFFF" w:themeColor="background1"/>
            </w:tcBorders>
            <w:shd w:val="clear" w:color="auto" w:fill="D9D9D9" w:themeFill="background1" w:themeFillShade="D9"/>
            <w:noWrap/>
            <w:vAlign w:val="bottom"/>
            <w:hideMark/>
          </w:tcPr>
          <w:p w14:paraId="2537905F"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11.642,4</w:t>
            </w:r>
          </w:p>
        </w:tc>
        <w:tc>
          <w:tcPr>
            <w:tcW w:w="806" w:type="dxa"/>
            <w:tcBorders>
              <w:top w:val="single" w:sz="4" w:space="0" w:color="auto"/>
              <w:left w:val="nil"/>
              <w:bottom w:val="single" w:sz="4" w:space="0" w:color="auto"/>
              <w:right w:val="single" w:sz="4" w:space="0" w:color="FFFFFF" w:themeColor="background1"/>
            </w:tcBorders>
            <w:shd w:val="clear" w:color="auto" w:fill="D9D9D9" w:themeFill="background1" w:themeFillShade="D9"/>
            <w:noWrap/>
            <w:vAlign w:val="bottom"/>
            <w:hideMark/>
          </w:tcPr>
          <w:p w14:paraId="5FAA6453"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12.247,4</w:t>
            </w:r>
          </w:p>
        </w:tc>
        <w:tc>
          <w:tcPr>
            <w:tcW w:w="806" w:type="dxa"/>
            <w:tcBorders>
              <w:top w:val="single" w:sz="4" w:space="0" w:color="auto"/>
              <w:left w:val="nil"/>
              <w:bottom w:val="single" w:sz="4" w:space="0" w:color="auto"/>
              <w:right w:val="nil"/>
            </w:tcBorders>
            <w:shd w:val="clear" w:color="auto" w:fill="D9D9D9" w:themeFill="background1" w:themeFillShade="D9"/>
            <w:noWrap/>
            <w:vAlign w:val="bottom"/>
            <w:hideMark/>
          </w:tcPr>
          <w:p w14:paraId="26D7BFDC"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5,2</w:t>
            </w:r>
          </w:p>
        </w:tc>
        <w:tc>
          <w:tcPr>
            <w:tcW w:w="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DE8307E"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1.864,8</w:t>
            </w:r>
          </w:p>
        </w:tc>
      </w:tr>
      <w:tr w:rsidR="00DD3B76" w14:paraId="1B0F82BE" w14:textId="77777777" w:rsidTr="00B20E50">
        <w:tc>
          <w:tcPr>
            <w:tcW w:w="1838"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7EE95D35" w14:textId="77777777" w:rsidR="00DD3B76" w:rsidRPr="0036109B" w:rsidRDefault="00DD3B76" w:rsidP="00B20E50">
            <w:pPr>
              <w:spacing w:after="0" w:line="240" w:lineRule="auto"/>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Mittlerer Osten</w:t>
            </w:r>
          </w:p>
        </w:tc>
        <w:tc>
          <w:tcPr>
            <w:tcW w:w="805" w:type="dxa"/>
            <w:tcBorders>
              <w:top w:val="single" w:sz="4" w:space="0" w:color="auto"/>
              <w:left w:val="single" w:sz="4" w:space="0" w:color="auto"/>
              <w:bottom w:val="single" w:sz="4" w:space="0" w:color="auto"/>
              <w:right w:val="single" w:sz="4" w:space="0" w:color="FFFFFF" w:themeColor="background1"/>
            </w:tcBorders>
            <w:shd w:val="clear" w:color="auto" w:fill="D9D9D9" w:themeFill="background1" w:themeFillShade="D9"/>
            <w:vAlign w:val="bottom"/>
            <w:hideMark/>
          </w:tcPr>
          <w:p w14:paraId="59A9BFDA"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0,4</w:t>
            </w:r>
          </w:p>
        </w:tc>
        <w:tc>
          <w:tcPr>
            <w:tcW w:w="896" w:type="dxa"/>
            <w:tcBorders>
              <w:top w:val="single" w:sz="4" w:space="0" w:color="auto"/>
              <w:left w:val="nil"/>
              <w:bottom w:val="single" w:sz="4" w:space="0" w:color="auto"/>
              <w:right w:val="single" w:sz="4" w:space="0" w:color="FFFFFF" w:themeColor="background1"/>
            </w:tcBorders>
            <w:shd w:val="clear" w:color="auto" w:fill="D9D9D9" w:themeFill="background1" w:themeFillShade="D9"/>
            <w:vAlign w:val="bottom"/>
            <w:hideMark/>
          </w:tcPr>
          <w:p w14:paraId="6031E2F0"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3.946,8</w:t>
            </w:r>
          </w:p>
        </w:tc>
        <w:tc>
          <w:tcPr>
            <w:tcW w:w="992" w:type="dxa"/>
            <w:tcBorders>
              <w:top w:val="single" w:sz="4" w:space="0" w:color="auto"/>
              <w:left w:val="nil"/>
              <w:bottom w:val="single" w:sz="4" w:space="0" w:color="auto"/>
              <w:right w:val="single" w:sz="4" w:space="0" w:color="FFFFFF" w:themeColor="background1"/>
            </w:tcBorders>
            <w:shd w:val="clear" w:color="auto" w:fill="D9D9D9" w:themeFill="background1" w:themeFillShade="D9"/>
            <w:vAlign w:val="bottom"/>
            <w:hideMark/>
          </w:tcPr>
          <w:p w14:paraId="74DBFBBC"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5.487,1</w:t>
            </w:r>
          </w:p>
        </w:tc>
        <w:tc>
          <w:tcPr>
            <w:tcW w:w="73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6554060"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39,0</w:t>
            </w:r>
          </w:p>
        </w:tc>
        <w:tc>
          <w:tcPr>
            <w:tcW w:w="638" w:type="dxa"/>
            <w:tcBorders>
              <w:top w:val="single" w:sz="4" w:space="0" w:color="auto"/>
              <w:left w:val="nil"/>
              <w:bottom w:val="single" w:sz="4" w:space="0" w:color="auto"/>
              <w:right w:val="single" w:sz="4" w:space="0" w:color="FFFFFF" w:themeColor="background1"/>
            </w:tcBorders>
            <w:shd w:val="clear" w:color="auto" w:fill="D9D9D9" w:themeFill="background1" w:themeFillShade="D9"/>
            <w:noWrap/>
            <w:vAlign w:val="bottom"/>
            <w:hideMark/>
          </w:tcPr>
          <w:p w14:paraId="7F937E0F"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1,2</w:t>
            </w:r>
          </w:p>
        </w:tc>
        <w:tc>
          <w:tcPr>
            <w:tcW w:w="805" w:type="dxa"/>
            <w:tcBorders>
              <w:top w:val="single" w:sz="4" w:space="0" w:color="auto"/>
              <w:left w:val="nil"/>
              <w:bottom w:val="single" w:sz="4" w:space="0" w:color="auto"/>
              <w:right w:val="single" w:sz="4" w:space="0" w:color="FFFFFF" w:themeColor="background1"/>
            </w:tcBorders>
            <w:shd w:val="clear" w:color="auto" w:fill="D9D9D9" w:themeFill="background1" w:themeFillShade="D9"/>
            <w:noWrap/>
            <w:vAlign w:val="bottom"/>
            <w:hideMark/>
          </w:tcPr>
          <w:p w14:paraId="585807D3"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7.533,9</w:t>
            </w:r>
          </w:p>
        </w:tc>
        <w:tc>
          <w:tcPr>
            <w:tcW w:w="806" w:type="dxa"/>
            <w:tcBorders>
              <w:top w:val="single" w:sz="4" w:space="0" w:color="auto"/>
              <w:left w:val="nil"/>
              <w:bottom w:val="single" w:sz="4" w:space="0" w:color="auto"/>
              <w:right w:val="single" w:sz="4" w:space="0" w:color="FFFFFF" w:themeColor="background1"/>
            </w:tcBorders>
            <w:shd w:val="clear" w:color="auto" w:fill="D9D9D9" w:themeFill="background1" w:themeFillShade="D9"/>
            <w:noWrap/>
            <w:vAlign w:val="bottom"/>
            <w:hideMark/>
          </w:tcPr>
          <w:p w14:paraId="44310597"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9.431,5</w:t>
            </w:r>
          </w:p>
        </w:tc>
        <w:tc>
          <w:tcPr>
            <w:tcW w:w="806" w:type="dxa"/>
            <w:tcBorders>
              <w:top w:val="single" w:sz="4" w:space="0" w:color="auto"/>
              <w:left w:val="nil"/>
              <w:bottom w:val="single" w:sz="4" w:space="0" w:color="auto"/>
              <w:right w:val="nil"/>
            </w:tcBorders>
            <w:shd w:val="clear" w:color="auto" w:fill="D9D9D9" w:themeFill="background1" w:themeFillShade="D9"/>
            <w:noWrap/>
            <w:vAlign w:val="bottom"/>
            <w:hideMark/>
          </w:tcPr>
          <w:p w14:paraId="27B046D3"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25,2</w:t>
            </w:r>
          </w:p>
        </w:tc>
        <w:tc>
          <w:tcPr>
            <w:tcW w:w="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099E5BE"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171,9</w:t>
            </w:r>
          </w:p>
        </w:tc>
      </w:tr>
      <w:tr w:rsidR="00DD3B76" w14:paraId="63F2F588" w14:textId="77777777" w:rsidTr="00B20E50">
        <w:tc>
          <w:tcPr>
            <w:tcW w:w="1838"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3D1768E6" w14:textId="77777777" w:rsidR="00DD3B76" w:rsidRPr="0036109B" w:rsidRDefault="00DD3B76" w:rsidP="00B20E50">
            <w:pPr>
              <w:spacing w:after="0" w:line="240" w:lineRule="auto"/>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Ferner Osten</w:t>
            </w:r>
          </w:p>
        </w:tc>
        <w:tc>
          <w:tcPr>
            <w:tcW w:w="805" w:type="dxa"/>
            <w:tcBorders>
              <w:top w:val="single" w:sz="4" w:space="0" w:color="auto"/>
              <w:left w:val="single" w:sz="4" w:space="0" w:color="auto"/>
              <w:bottom w:val="single" w:sz="4" w:space="0" w:color="auto"/>
              <w:right w:val="single" w:sz="4" w:space="0" w:color="FFFFFF" w:themeColor="background1"/>
            </w:tcBorders>
            <w:shd w:val="clear" w:color="auto" w:fill="D9D9D9" w:themeFill="background1" w:themeFillShade="D9"/>
            <w:vAlign w:val="bottom"/>
            <w:hideMark/>
          </w:tcPr>
          <w:p w14:paraId="46200A09"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34,3</w:t>
            </w:r>
          </w:p>
        </w:tc>
        <w:tc>
          <w:tcPr>
            <w:tcW w:w="896" w:type="dxa"/>
            <w:tcBorders>
              <w:top w:val="single" w:sz="4" w:space="0" w:color="auto"/>
              <w:left w:val="nil"/>
              <w:bottom w:val="single" w:sz="4" w:space="0" w:color="auto"/>
              <w:right w:val="single" w:sz="4" w:space="0" w:color="FFFFFF" w:themeColor="background1"/>
            </w:tcBorders>
            <w:shd w:val="clear" w:color="auto" w:fill="D9D9D9" w:themeFill="background1" w:themeFillShade="D9"/>
            <w:vAlign w:val="bottom"/>
            <w:hideMark/>
          </w:tcPr>
          <w:p w14:paraId="562DC3E0"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369.580,4</w:t>
            </w:r>
          </w:p>
        </w:tc>
        <w:tc>
          <w:tcPr>
            <w:tcW w:w="992" w:type="dxa"/>
            <w:tcBorders>
              <w:top w:val="single" w:sz="4" w:space="0" w:color="auto"/>
              <w:left w:val="nil"/>
              <w:bottom w:val="single" w:sz="4" w:space="0" w:color="auto"/>
              <w:right w:val="single" w:sz="4" w:space="0" w:color="FFFFFF" w:themeColor="background1"/>
            </w:tcBorders>
            <w:shd w:val="clear" w:color="auto" w:fill="D9D9D9" w:themeFill="background1" w:themeFillShade="D9"/>
            <w:vAlign w:val="bottom"/>
            <w:hideMark/>
          </w:tcPr>
          <w:p w14:paraId="34C04297"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423.448,2</w:t>
            </w:r>
          </w:p>
        </w:tc>
        <w:tc>
          <w:tcPr>
            <w:tcW w:w="73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EC76901"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14,6</w:t>
            </w:r>
          </w:p>
        </w:tc>
        <w:tc>
          <w:tcPr>
            <w:tcW w:w="638" w:type="dxa"/>
            <w:tcBorders>
              <w:top w:val="single" w:sz="4" w:space="0" w:color="auto"/>
              <w:left w:val="nil"/>
              <w:bottom w:val="single" w:sz="4" w:space="0" w:color="auto"/>
              <w:right w:val="single" w:sz="4" w:space="0" w:color="FFFFFF" w:themeColor="background1"/>
            </w:tcBorders>
            <w:shd w:val="clear" w:color="auto" w:fill="D9D9D9" w:themeFill="background1" w:themeFillShade="D9"/>
            <w:noWrap/>
            <w:vAlign w:val="bottom"/>
            <w:hideMark/>
          </w:tcPr>
          <w:p w14:paraId="53143683"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1,1</w:t>
            </w:r>
          </w:p>
        </w:tc>
        <w:tc>
          <w:tcPr>
            <w:tcW w:w="805" w:type="dxa"/>
            <w:tcBorders>
              <w:top w:val="single" w:sz="4" w:space="0" w:color="auto"/>
              <w:left w:val="nil"/>
              <w:bottom w:val="single" w:sz="4" w:space="0" w:color="auto"/>
              <w:right w:val="single" w:sz="4" w:space="0" w:color="FFFFFF" w:themeColor="background1"/>
            </w:tcBorders>
            <w:shd w:val="clear" w:color="auto" w:fill="D9D9D9" w:themeFill="background1" w:themeFillShade="D9"/>
            <w:noWrap/>
            <w:vAlign w:val="bottom"/>
            <w:hideMark/>
          </w:tcPr>
          <w:p w14:paraId="497C0FB0"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7.528,1</w:t>
            </w:r>
          </w:p>
        </w:tc>
        <w:tc>
          <w:tcPr>
            <w:tcW w:w="806" w:type="dxa"/>
            <w:tcBorders>
              <w:top w:val="single" w:sz="4" w:space="0" w:color="auto"/>
              <w:left w:val="nil"/>
              <w:bottom w:val="single" w:sz="4" w:space="0" w:color="auto"/>
              <w:right w:val="single" w:sz="4" w:space="0" w:color="FFFFFF" w:themeColor="background1"/>
            </w:tcBorders>
            <w:shd w:val="clear" w:color="auto" w:fill="D9D9D9" w:themeFill="background1" w:themeFillShade="D9"/>
            <w:noWrap/>
            <w:vAlign w:val="bottom"/>
            <w:hideMark/>
          </w:tcPr>
          <w:p w14:paraId="3772B372"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9.022,0</w:t>
            </w:r>
          </w:p>
        </w:tc>
        <w:tc>
          <w:tcPr>
            <w:tcW w:w="806" w:type="dxa"/>
            <w:tcBorders>
              <w:top w:val="single" w:sz="4" w:space="0" w:color="auto"/>
              <w:left w:val="nil"/>
              <w:bottom w:val="single" w:sz="4" w:space="0" w:color="auto"/>
              <w:right w:val="nil"/>
            </w:tcBorders>
            <w:shd w:val="clear" w:color="auto" w:fill="D9D9D9" w:themeFill="background1" w:themeFillShade="D9"/>
            <w:noWrap/>
            <w:vAlign w:val="bottom"/>
            <w:hideMark/>
          </w:tcPr>
          <w:p w14:paraId="465AF474"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19,8</w:t>
            </w:r>
          </w:p>
        </w:tc>
        <w:tc>
          <w:tcPr>
            <w:tcW w:w="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60F064"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2,1</w:t>
            </w:r>
          </w:p>
        </w:tc>
      </w:tr>
      <w:tr w:rsidR="00DD3B76" w14:paraId="2358EDB7" w14:textId="77777777" w:rsidTr="00B20E50">
        <w:tc>
          <w:tcPr>
            <w:tcW w:w="1838" w:type="dxa"/>
            <w:tcBorders>
              <w:top w:val="nil"/>
              <w:left w:val="single" w:sz="4" w:space="0" w:color="auto"/>
              <w:bottom w:val="single" w:sz="4" w:space="0" w:color="FFFFFF" w:themeColor="background1"/>
              <w:right w:val="nil"/>
            </w:tcBorders>
            <w:shd w:val="clear" w:color="auto" w:fill="auto"/>
            <w:vAlign w:val="bottom"/>
            <w:hideMark/>
          </w:tcPr>
          <w:p w14:paraId="7AC24E00" w14:textId="77777777" w:rsidR="00DD3B76" w:rsidRPr="0036109B" w:rsidRDefault="00DD3B76" w:rsidP="00B20E50">
            <w:pPr>
              <w:spacing w:after="0" w:line="240" w:lineRule="auto"/>
              <w:ind w:left="204"/>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Indien</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0B374FE9"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0,9</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64016580"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8.907,6</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249FC0C2"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10.894,5</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1FB2A37A"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22,3</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336405C"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0,1</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34FD65F"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496,9</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8DFE941"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1.077,6</w:t>
            </w:r>
          </w:p>
        </w:tc>
        <w:tc>
          <w:tcPr>
            <w:tcW w:w="806" w:type="dxa"/>
            <w:tcBorders>
              <w:top w:val="nil"/>
              <w:left w:val="nil"/>
              <w:bottom w:val="single" w:sz="4" w:space="0" w:color="FFFFFF" w:themeColor="background1"/>
              <w:right w:val="nil"/>
            </w:tcBorders>
            <w:shd w:val="clear" w:color="auto" w:fill="auto"/>
            <w:noWrap/>
            <w:vAlign w:val="bottom"/>
            <w:hideMark/>
          </w:tcPr>
          <w:p w14:paraId="21044E70"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116,8</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3D41E0C6"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9,9</w:t>
            </w:r>
          </w:p>
        </w:tc>
      </w:tr>
      <w:tr w:rsidR="00DD3B76" w14:paraId="55D24F1C" w14:textId="77777777" w:rsidTr="00B20E50">
        <w:tc>
          <w:tcPr>
            <w:tcW w:w="1838" w:type="dxa"/>
            <w:tcBorders>
              <w:top w:val="nil"/>
              <w:left w:val="single" w:sz="4" w:space="0" w:color="auto"/>
              <w:bottom w:val="single" w:sz="4" w:space="0" w:color="FFFFFF" w:themeColor="background1"/>
              <w:right w:val="nil"/>
            </w:tcBorders>
            <w:shd w:val="clear" w:color="auto" w:fill="auto"/>
            <w:vAlign w:val="bottom"/>
            <w:hideMark/>
          </w:tcPr>
          <w:p w14:paraId="25A43A88" w14:textId="77777777" w:rsidR="00DD3B76" w:rsidRPr="0036109B" w:rsidRDefault="00DD3B76" w:rsidP="00B20E50">
            <w:pPr>
              <w:spacing w:after="0" w:line="240" w:lineRule="auto"/>
              <w:ind w:left="204"/>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Thailand</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28663DF6"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0,1</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7563D5F0"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2.187,8</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121354A6"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1.823,5</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0AA30C8B"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-16,6</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C24F8BA"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0,0</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166D54F"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532,5</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111F418"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302,6</w:t>
            </w:r>
          </w:p>
        </w:tc>
        <w:tc>
          <w:tcPr>
            <w:tcW w:w="806" w:type="dxa"/>
            <w:tcBorders>
              <w:top w:val="nil"/>
              <w:left w:val="nil"/>
              <w:bottom w:val="single" w:sz="4" w:space="0" w:color="FFFFFF" w:themeColor="background1"/>
              <w:right w:val="nil"/>
            </w:tcBorders>
            <w:shd w:val="clear" w:color="auto" w:fill="auto"/>
            <w:noWrap/>
            <w:vAlign w:val="bottom"/>
            <w:hideMark/>
          </w:tcPr>
          <w:p w14:paraId="28CDFFA2"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-43,2</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01D4A533"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16,6</w:t>
            </w:r>
          </w:p>
        </w:tc>
      </w:tr>
      <w:tr w:rsidR="00DD3B76" w14:paraId="7D616C9B" w14:textId="77777777" w:rsidTr="00B20E50">
        <w:tc>
          <w:tcPr>
            <w:tcW w:w="1838" w:type="dxa"/>
            <w:tcBorders>
              <w:top w:val="nil"/>
              <w:left w:val="single" w:sz="4" w:space="0" w:color="auto"/>
              <w:bottom w:val="single" w:sz="4" w:space="0" w:color="FFFFFF" w:themeColor="background1"/>
              <w:right w:val="nil"/>
            </w:tcBorders>
            <w:shd w:val="clear" w:color="auto" w:fill="auto"/>
            <w:vAlign w:val="bottom"/>
            <w:hideMark/>
          </w:tcPr>
          <w:p w14:paraId="0031C280" w14:textId="77777777" w:rsidR="00DD3B76" w:rsidRPr="0036109B" w:rsidRDefault="00DD3B76" w:rsidP="00B20E50">
            <w:pPr>
              <w:spacing w:after="0" w:line="240" w:lineRule="auto"/>
              <w:ind w:left="204"/>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Vietnam</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0FFF68B8"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2,2</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54610182"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17.264,7</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2883B5F2"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27.054,0</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5FE7C92C"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56,7</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A1D8908"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0,0</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A1ECEE6"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188,4</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AF422F9"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86,0</w:t>
            </w:r>
          </w:p>
        </w:tc>
        <w:tc>
          <w:tcPr>
            <w:tcW w:w="806" w:type="dxa"/>
            <w:tcBorders>
              <w:top w:val="nil"/>
              <w:left w:val="nil"/>
              <w:bottom w:val="single" w:sz="4" w:space="0" w:color="FFFFFF" w:themeColor="background1"/>
              <w:right w:val="nil"/>
            </w:tcBorders>
            <w:shd w:val="clear" w:color="auto" w:fill="auto"/>
            <w:noWrap/>
            <w:vAlign w:val="bottom"/>
            <w:hideMark/>
          </w:tcPr>
          <w:p w14:paraId="12EE86FF"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-54,4</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63BDA4A0"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0,3</w:t>
            </w:r>
          </w:p>
        </w:tc>
      </w:tr>
      <w:tr w:rsidR="00DD3B76" w14:paraId="37A8F3C8" w14:textId="77777777" w:rsidTr="00B20E50">
        <w:tc>
          <w:tcPr>
            <w:tcW w:w="1838" w:type="dxa"/>
            <w:tcBorders>
              <w:top w:val="nil"/>
              <w:left w:val="single" w:sz="4" w:space="0" w:color="auto"/>
              <w:bottom w:val="single" w:sz="4" w:space="0" w:color="FFFFFF" w:themeColor="background1"/>
              <w:right w:val="nil"/>
            </w:tcBorders>
            <w:shd w:val="clear" w:color="auto" w:fill="auto"/>
            <w:vAlign w:val="bottom"/>
            <w:hideMark/>
          </w:tcPr>
          <w:p w14:paraId="1D907863" w14:textId="77777777" w:rsidR="00DD3B76" w:rsidRPr="0036109B" w:rsidRDefault="00DD3B76" w:rsidP="00B20E50">
            <w:pPr>
              <w:spacing w:after="0" w:line="240" w:lineRule="auto"/>
              <w:ind w:left="204"/>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Kambodscha</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4A672E07"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0,0</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735DA7FE"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0,0</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6B02B93A"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5,3</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6288CCF2"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 xml:space="preserve">- </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52B48E4"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0,0</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89818A9"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688,9</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DF6F052"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371,8</w:t>
            </w:r>
          </w:p>
        </w:tc>
        <w:tc>
          <w:tcPr>
            <w:tcW w:w="806" w:type="dxa"/>
            <w:tcBorders>
              <w:top w:val="nil"/>
              <w:left w:val="nil"/>
              <w:bottom w:val="single" w:sz="4" w:space="0" w:color="FFFFFF" w:themeColor="background1"/>
              <w:right w:val="nil"/>
            </w:tcBorders>
            <w:shd w:val="clear" w:color="auto" w:fill="auto"/>
            <w:noWrap/>
            <w:vAlign w:val="bottom"/>
            <w:hideMark/>
          </w:tcPr>
          <w:p w14:paraId="656E6D54"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-46,0</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8650CCD"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6.981,6</w:t>
            </w:r>
          </w:p>
        </w:tc>
      </w:tr>
      <w:tr w:rsidR="00DD3B76" w14:paraId="148184F3" w14:textId="77777777" w:rsidTr="00B20E50">
        <w:tc>
          <w:tcPr>
            <w:tcW w:w="1838" w:type="dxa"/>
            <w:tcBorders>
              <w:top w:val="nil"/>
              <w:left w:val="single" w:sz="4" w:space="0" w:color="auto"/>
              <w:bottom w:val="single" w:sz="4" w:space="0" w:color="FFFFFF" w:themeColor="background1"/>
              <w:right w:val="nil"/>
            </w:tcBorders>
            <w:shd w:val="clear" w:color="auto" w:fill="auto"/>
            <w:vAlign w:val="bottom"/>
            <w:hideMark/>
          </w:tcPr>
          <w:p w14:paraId="679D1B4B" w14:textId="77777777" w:rsidR="00DD3B76" w:rsidRPr="0036109B" w:rsidRDefault="00DD3B76" w:rsidP="00B20E50">
            <w:pPr>
              <w:spacing w:after="0" w:line="240" w:lineRule="auto"/>
              <w:ind w:left="204"/>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Indonesien</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112CEBB5"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2,1</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035B41F8"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32.436,7</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5EFE77F2"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25.696,1</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634C693C"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-20,8</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56E1956"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0,0</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BCEB95A"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237,5</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4A9ABFA"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182,5</w:t>
            </w:r>
          </w:p>
        </w:tc>
        <w:tc>
          <w:tcPr>
            <w:tcW w:w="806" w:type="dxa"/>
            <w:tcBorders>
              <w:top w:val="nil"/>
              <w:left w:val="nil"/>
              <w:bottom w:val="single" w:sz="4" w:space="0" w:color="FFFFFF" w:themeColor="background1"/>
              <w:right w:val="nil"/>
            </w:tcBorders>
            <w:shd w:val="clear" w:color="auto" w:fill="auto"/>
            <w:noWrap/>
            <w:vAlign w:val="bottom"/>
            <w:hideMark/>
          </w:tcPr>
          <w:p w14:paraId="2C378072"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-23,2</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68475B2C"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0,7</w:t>
            </w:r>
          </w:p>
        </w:tc>
      </w:tr>
      <w:tr w:rsidR="00DD3B76" w14:paraId="5E14D038" w14:textId="77777777" w:rsidTr="00B20E50">
        <w:tc>
          <w:tcPr>
            <w:tcW w:w="1838" w:type="dxa"/>
            <w:tcBorders>
              <w:top w:val="nil"/>
              <w:left w:val="single" w:sz="4" w:space="0" w:color="auto"/>
              <w:bottom w:val="single" w:sz="4" w:space="0" w:color="FFFFFF" w:themeColor="background1"/>
              <w:right w:val="nil"/>
            </w:tcBorders>
            <w:shd w:val="clear" w:color="auto" w:fill="auto"/>
            <w:vAlign w:val="bottom"/>
            <w:hideMark/>
          </w:tcPr>
          <w:p w14:paraId="47D60936" w14:textId="77777777" w:rsidR="00DD3B76" w:rsidRPr="0036109B" w:rsidRDefault="00DD3B76" w:rsidP="00B20E50">
            <w:pPr>
              <w:spacing w:after="0" w:line="240" w:lineRule="auto"/>
              <w:ind w:left="204"/>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Malaysia</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92C3986"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0,4</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30A7D2E0"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3.989,4</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3151A555"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4.459,3</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24406C12"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11,8</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67EBF3C"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0,0</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77B52B0"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112,7</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1200760"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42,5</w:t>
            </w:r>
          </w:p>
        </w:tc>
        <w:tc>
          <w:tcPr>
            <w:tcW w:w="806" w:type="dxa"/>
            <w:tcBorders>
              <w:top w:val="nil"/>
              <w:left w:val="nil"/>
              <w:bottom w:val="single" w:sz="4" w:space="0" w:color="FFFFFF" w:themeColor="background1"/>
              <w:right w:val="nil"/>
            </w:tcBorders>
            <w:shd w:val="clear" w:color="auto" w:fill="auto"/>
            <w:noWrap/>
            <w:vAlign w:val="bottom"/>
            <w:hideMark/>
          </w:tcPr>
          <w:p w14:paraId="34C7B4C2"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-62,3</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6C6E49DF"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1,0</w:t>
            </w:r>
          </w:p>
        </w:tc>
      </w:tr>
      <w:tr w:rsidR="00DD3B76" w14:paraId="61FECDF9" w14:textId="77777777" w:rsidTr="00B20E50">
        <w:tc>
          <w:tcPr>
            <w:tcW w:w="1838" w:type="dxa"/>
            <w:tcBorders>
              <w:top w:val="nil"/>
              <w:left w:val="single" w:sz="4" w:space="0" w:color="auto"/>
              <w:bottom w:val="single" w:sz="4" w:space="0" w:color="FFFFFF" w:themeColor="background1"/>
              <w:right w:val="nil"/>
            </w:tcBorders>
            <w:shd w:val="clear" w:color="auto" w:fill="auto"/>
            <w:vAlign w:val="bottom"/>
            <w:hideMark/>
          </w:tcPr>
          <w:p w14:paraId="5F84D6DF" w14:textId="77777777" w:rsidR="00DD3B76" w:rsidRPr="0036109B" w:rsidRDefault="00DD3B76" w:rsidP="00B20E50">
            <w:pPr>
              <w:spacing w:after="0" w:line="240" w:lineRule="auto"/>
              <w:ind w:left="204"/>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Singapur</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063423C0"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0,0</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194C1E19"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87,6</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182B520B"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46,9</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50F722DF"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-46,5</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401ABAA"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0,1</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F236CC1"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471,2</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D0FF357"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829,3</w:t>
            </w:r>
          </w:p>
        </w:tc>
        <w:tc>
          <w:tcPr>
            <w:tcW w:w="806" w:type="dxa"/>
            <w:tcBorders>
              <w:top w:val="nil"/>
              <w:left w:val="nil"/>
              <w:bottom w:val="single" w:sz="4" w:space="0" w:color="FFFFFF" w:themeColor="background1"/>
              <w:right w:val="nil"/>
            </w:tcBorders>
            <w:shd w:val="clear" w:color="auto" w:fill="auto"/>
            <w:noWrap/>
            <w:vAlign w:val="bottom"/>
            <w:hideMark/>
          </w:tcPr>
          <w:p w14:paraId="77F73887"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76,0</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624090C5"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1.768,7</w:t>
            </w:r>
          </w:p>
        </w:tc>
      </w:tr>
      <w:tr w:rsidR="00DD3B76" w14:paraId="07DCBEFC" w14:textId="77777777" w:rsidTr="00B20E50">
        <w:tc>
          <w:tcPr>
            <w:tcW w:w="1838" w:type="dxa"/>
            <w:tcBorders>
              <w:top w:val="nil"/>
              <w:left w:val="single" w:sz="4" w:space="0" w:color="auto"/>
              <w:bottom w:val="single" w:sz="4" w:space="0" w:color="FFFFFF" w:themeColor="background1"/>
              <w:right w:val="nil"/>
            </w:tcBorders>
            <w:shd w:val="clear" w:color="auto" w:fill="auto"/>
            <w:vAlign w:val="bottom"/>
            <w:hideMark/>
          </w:tcPr>
          <w:p w14:paraId="0730C5B1" w14:textId="77777777" w:rsidR="00DD3B76" w:rsidRPr="0036109B" w:rsidRDefault="00DD3B76" w:rsidP="00B20E50">
            <w:pPr>
              <w:spacing w:after="0" w:line="240" w:lineRule="auto"/>
              <w:ind w:left="204"/>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Philippinen</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51CD0EB"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0,0</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6D87BB5C"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218,9</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0B2B9928"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329,2</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229F5A31"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50,4</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653C84A"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0,0</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737AB74"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180,1</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DB9628C"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71,7</w:t>
            </w:r>
          </w:p>
        </w:tc>
        <w:tc>
          <w:tcPr>
            <w:tcW w:w="806" w:type="dxa"/>
            <w:tcBorders>
              <w:top w:val="nil"/>
              <w:left w:val="nil"/>
              <w:bottom w:val="single" w:sz="4" w:space="0" w:color="FFFFFF" w:themeColor="background1"/>
              <w:right w:val="nil"/>
            </w:tcBorders>
            <w:shd w:val="clear" w:color="auto" w:fill="auto"/>
            <w:noWrap/>
            <w:vAlign w:val="bottom"/>
            <w:hideMark/>
          </w:tcPr>
          <w:p w14:paraId="2C0673CC"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-60,2</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0E9511E9"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21,8</w:t>
            </w:r>
          </w:p>
        </w:tc>
      </w:tr>
      <w:tr w:rsidR="00DD3B76" w14:paraId="0A1D9670" w14:textId="77777777" w:rsidTr="00B20E50">
        <w:tc>
          <w:tcPr>
            <w:tcW w:w="1838" w:type="dxa"/>
            <w:tcBorders>
              <w:top w:val="nil"/>
              <w:left w:val="single" w:sz="4" w:space="0" w:color="auto"/>
              <w:bottom w:val="single" w:sz="4" w:space="0" w:color="FFFFFF" w:themeColor="background1"/>
              <w:right w:val="nil"/>
            </w:tcBorders>
            <w:shd w:val="clear" w:color="auto" w:fill="auto"/>
            <w:vAlign w:val="bottom"/>
            <w:hideMark/>
          </w:tcPr>
          <w:p w14:paraId="3A978AE3" w14:textId="77777777" w:rsidR="00DD3B76" w:rsidRPr="0036109B" w:rsidRDefault="00DD3B76" w:rsidP="00B20E50">
            <w:pPr>
              <w:spacing w:after="0" w:line="240" w:lineRule="auto"/>
              <w:ind w:left="204"/>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China</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62B7E8ED"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28,5</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446FAA5C"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302.064,1</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0AE7523C"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350.894,1</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674A6DDC"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16,2</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D657541"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0,3</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84FFA68"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1.736,7</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F463FAD"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2.337,4</w:t>
            </w:r>
          </w:p>
        </w:tc>
        <w:tc>
          <w:tcPr>
            <w:tcW w:w="806" w:type="dxa"/>
            <w:tcBorders>
              <w:top w:val="nil"/>
              <w:left w:val="nil"/>
              <w:bottom w:val="single" w:sz="4" w:space="0" w:color="FFFFFF" w:themeColor="background1"/>
              <w:right w:val="nil"/>
            </w:tcBorders>
            <w:shd w:val="clear" w:color="auto" w:fill="auto"/>
            <w:noWrap/>
            <w:vAlign w:val="bottom"/>
            <w:hideMark/>
          </w:tcPr>
          <w:p w14:paraId="650585CB"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34,6</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1FEAB48F"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0,7</w:t>
            </w:r>
          </w:p>
        </w:tc>
      </w:tr>
      <w:tr w:rsidR="00DD3B76" w14:paraId="5DDD8E53" w14:textId="77777777" w:rsidTr="00B20E50">
        <w:tc>
          <w:tcPr>
            <w:tcW w:w="1838" w:type="dxa"/>
            <w:tcBorders>
              <w:top w:val="nil"/>
              <w:left w:val="single" w:sz="4" w:space="0" w:color="auto"/>
              <w:bottom w:val="single" w:sz="4" w:space="0" w:color="FFFFFF" w:themeColor="background1"/>
              <w:right w:val="nil"/>
            </w:tcBorders>
            <w:shd w:val="clear" w:color="auto" w:fill="auto"/>
            <w:vAlign w:val="bottom"/>
            <w:hideMark/>
          </w:tcPr>
          <w:p w14:paraId="2C20FAEA" w14:textId="77777777" w:rsidR="00DD3B76" w:rsidRPr="0036109B" w:rsidRDefault="00DD3B76" w:rsidP="00B20E50">
            <w:pPr>
              <w:spacing w:after="0" w:line="240" w:lineRule="auto"/>
              <w:ind w:left="204"/>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Südkorea</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0846ADA4"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0,0</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1A801CC2"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102,2</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3FDC1073"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112,1</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786FDAAC"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9,7</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762502F3"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0,1</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04EF17E5"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521,5</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63746A28"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607,5</w:t>
            </w:r>
          </w:p>
        </w:tc>
        <w:tc>
          <w:tcPr>
            <w:tcW w:w="806" w:type="dxa"/>
            <w:tcBorders>
              <w:top w:val="nil"/>
              <w:left w:val="nil"/>
              <w:bottom w:val="single" w:sz="4" w:space="0" w:color="FFFFFF" w:themeColor="background1"/>
              <w:right w:val="nil"/>
            </w:tcBorders>
            <w:shd w:val="clear" w:color="auto" w:fill="auto"/>
            <w:noWrap/>
            <w:vAlign w:val="bottom"/>
            <w:hideMark/>
          </w:tcPr>
          <w:p w14:paraId="041962B1"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16,5</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5CEBD1D4"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542,0</w:t>
            </w:r>
          </w:p>
        </w:tc>
      </w:tr>
      <w:tr w:rsidR="00DD3B76" w14:paraId="73A9DAC3" w14:textId="77777777" w:rsidTr="00B20E50">
        <w:tc>
          <w:tcPr>
            <w:tcW w:w="1838" w:type="dxa"/>
            <w:tcBorders>
              <w:top w:val="nil"/>
              <w:left w:val="single" w:sz="4" w:space="0" w:color="auto"/>
              <w:bottom w:val="single" w:sz="4" w:space="0" w:color="FFFFFF" w:themeColor="background1"/>
              <w:right w:val="nil"/>
            </w:tcBorders>
            <w:shd w:val="clear" w:color="auto" w:fill="auto"/>
            <w:vAlign w:val="bottom"/>
            <w:hideMark/>
          </w:tcPr>
          <w:p w14:paraId="17A9FDF7" w14:textId="77777777" w:rsidR="00DD3B76" w:rsidRPr="0036109B" w:rsidRDefault="00DD3B76" w:rsidP="00B20E50">
            <w:pPr>
              <w:spacing w:after="0" w:line="240" w:lineRule="auto"/>
              <w:ind w:left="204"/>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Japan</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6F80B136"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0,1</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371B6592"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883,8</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31145CBE"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944,6</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7536C288"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6,9</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50D1CF9F"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0,2</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C16D61D"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1.062,1</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320D7B9"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1.279,9</w:t>
            </w:r>
          </w:p>
        </w:tc>
        <w:tc>
          <w:tcPr>
            <w:tcW w:w="806" w:type="dxa"/>
            <w:tcBorders>
              <w:top w:val="nil"/>
              <w:left w:val="nil"/>
              <w:bottom w:val="single" w:sz="4" w:space="0" w:color="FFFFFF" w:themeColor="background1"/>
              <w:right w:val="nil"/>
            </w:tcBorders>
            <w:shd w:val="clear" w:color="auto" w:fill="auto"/>
            <w:noWrap/>
            <w:vAlign w:val="bottom"/>
            <w:hideMark/>
          </w:tcPr>
          <w:p w14:paraId="0E00AF19"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20,5</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4B4A1238"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135,5</w:t>
            </w:r>
          </w:p>
        </w:tc>
      </w:tr>
      <w:tr w:rsidR="00DD3B76" w14:paraId="5D67AEDA" w14:textId="77777777" w:rsidTr="00B20E50">
        <w:tc>
          <w:tcPr>
            <w:tcW w:w="1838" w:type="dxa"/>
            <w:tcBorders>
              <w:top w:val="nil"/>
              <w:left w:val="single" w:sz="4" w:space="0" w:color="auto"/>
              <w:bottom w:val="single" w:sz="4" w:space="0" w:color="FFFFFF" w:themeColor="background1"/>
              <w:right w:val="nil"/>
            </w:tcBorders>
            <w:shd w:val="clear" w:color="auto" w:fill="auto"/>
            <w:vAlign w:val="bottom"/>
            <w:hideMark/>
          </w:tcPr>
          <w:p w14:paraId="563A64AC" w14:textId="77777777" w:rsidR="00DD3B76" w:rsidRPr="0036109B" w:rsidRDefault="00DD3B76" w:rsidP="00B20E50">
            <w:pPr>
              <w:spacing w:after="0" w:line="240" w:lineRule="auto"/>
              <w:ind w:left="204"/>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Taiwan</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193501D0"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0,1</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21934E8C"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608,4</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2B391D5D"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807,9</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49283DB8"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32,8</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7D499E1"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0,0</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22202502"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416,4</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6387027"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343,9</w:t>
            </w:r>
          </w:p>
        </w:tc>
        <w:tc>
          <w:tcPr>
            <w:tcW w:w="806" w:type="dxa"/>
            <w:tcBorders>
              <w:top w:val="nil"/>
              <w:left w:val="nil"/>
              <w:bottom w:val="single" w:sz="4" w:space="0" w:color="FFFFFF" w:themeColor="background1"/>
              <w:right w:val="nil"/>
            </w:tcBorders>
            <w:shd w:val="clear" w:color="auto" w:fill="auto"/>
            <w:noWrap/>
            <w:vAlign w:val="bottom"/>
            <w:hideMark/>
          </w:tcPr>
          <w:p w14:paraId="7E336B5F"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-17,4</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15AB083C"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42,6</w:t>
            </w:r>
          </w:p>
        </w:tc>
      </w:tr>
      <w:tr w:rsidR="00DD3B76" w14:paraId="04B09AB8" w14:textId="77777777" w:rsidTr="00B20E50">
        <w:tc>
          <w:tcPr>
            <w:tcW w:w="1838" w:type="dxa"/>
            <w:tcBorders>
              <w:top w:val="nil"/>
              <w:left w:val="single" w:sz="4" w:space="0" w:color="auto"/>
              <w:bottom w:val="single" w:sz="4" w:space="0" w:color="FFFFFF" w:themeColor="background1"/>
              <w:right w:val="nil"/>
            </w:tcBorders>
            <w:shd w:val="clear" w:color="auto" w:fill="auto"/>
            <w:vAlign w:val="bottom"/>
            <w:hideMark/>
          </w:tcPr>
          <w:p w14:paraId="6DABBEDA" w14:textId="77777777" w:rsidR="00DD3B76" w:rsidRPr="0036109B" w:rsidRDefault="00DD3B76" w:rsidP="00B20E50">
            <w:pPr>
              <w:spacing w:after="0" w:line="240" w:lineRule="auto"/>
              <w:ind w:left="204"/>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Hongkong</w:t>
            </w:r>
          </w:p>
        </w:tc>
        <w:tc>
          <w:tcPr>
            <w:tcW w:w="805" w:type="dxa"/>
            <w:tcBorders>
              <w:top w:val="nil"/>
              <w:left w:val="single" w:sz="4" w:space="0" w:color="auto"/>
              <w:bottom w:val="single" w:sz="4" w:space="0" w:color="FFFFFF" w:themeColor="background1"/>
              <w:right w:val="single" w:sz="4" w:space="0" w:color="FFFFFF" w:themeColor="background1"/>
            </w:tcBorders>
            <w:shd w:val="clear" w:color="auto" w:fill="auto"/>
            <w:vAlign w:val="bottom"/>
            <w:hideMark/>
          </w:tcPr>
          <w:p w14:paraId="70C5B358"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0,0</w:t>
            </w:r>
          </w:p>
        </w:tc>
        <w:tc>
          <w:tcPr>
            <w:tcW w:w="896" w:type="dxa"/>
            <w:tcBorders>
              <w:top w:val="nil"/>
              <w:left w:val="nil"/>
              <w:bottom w:val="single" w:sz="4" w:space="0" w:color="FFFFFF" w:themeColor="background1"/>
              <w:right w:val="single" w:sz="4" w:space="0" w:color="FFFFFF" w:themeColor="background1"/>
            </w:tcBorders>
            <w:shd w:val="clear" w:color="auto" w:fill="auto"/>
            <w:vAlign w:val="bottom"/>
            <w:hideMark/>
          </w:tcPr>
          <w:p w14:paraId="6B7E2470"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692,5</w:t>
            </w:r>
          </w:p>
        </w:tc>
        <w:tc>
          <w:tcPr>
            <w:tcW w:w="992" w:type="dxa"/>
            <w:tcBorders>
              <w:top w:val="nil"/>
              <w:left w:val="nil"/>
              <w:bottom w:val="single" w:sz="4" w:space="0" w:color="FFFFFF" w:themeColor="background1"/>
              <w:right w:val="single" w:sz="4" w:space="0" w:color="FFFFFF" w:themeColor="background1"/>
            </w:tcBorders>
            <w:shd w:val="clear" w:color="auto" w:fill="auto"/>
            <w:vAlign w:val="bottom"/>
            <w:hideMark/>
          </w:tcPr>
          <w:p w14:paraId="6148C510"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264,5</w:t>
            </w:r>
          </w:p>
        </w:tc>
        <w:tc>
          <w:tcPr>
            <w:tcW w:w="735" w:type="dxa"/>
            <w:tcBorders>
              <w:top w:val="nil"/>
              <w:left w:val="nil"/>
              <w:bottom w:val="single" w:sz="4" w:space="0" w:color="FFFFFF" w:themeColor="background1"/>
              <w:right w:val="single" w:sz="4" w:space="0" w:color="auto"/>
            </w:tcBorders>
            <w:shd w:val="clear" w:color="auto" w:fill="auto"/>
            <w:noWrap/>
            <w:vAlign w:val="bottom"/>
            <w:hideMark/>
          </w:tcPr>
          <w:p w14:paraId="3FBCD1B3"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-61,8</w:t>
            </w:r>
          </w:p>
        </w:tc>
        <w:tc>
          <w:tcPr>
            <w:tcW w:w="638"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49C5A687"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0,2</w:t>
            </w:r>
          </w:p>
        </w:tc>
        <w:tc>
          <w:tcPr>
            <w:tcW w:w="805"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3E927577"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822,7</w:t>
            </w:r>
          </w:p>
        </w:tc>
        <w:tc>
          <w:tcPr>
            <w:tcW w:w="806" w:type="dxa"/>
            <w:tcBorders>
              <w:top w:val="nil"/>
              <w:left w:val="nil"/>
              <w:bottom w:val="single" w:sz="4" w:space="0" w:color="FFFFFF" w:themeColor="background1"/>
              <w:right w:val="single" w:sz="4" w:space="0" w:color="FFFFFF" w:themeColor="background1"/>
            </w:tcBorders>
            <w:shd w:val="clear" w:color="auto" w:fill="auto"/>
            <w:noWrap/>
            <w:vAlign w:val="bottom"/>
            <w:hideMark/>
          </w:tcPr>
          <w:p w14:paraId="13B129B4"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1.284,0</w:t>
            </w:r>
          </w:p>
        </w:tc>
        <w:tc>
          <w:tcPr>
            <w:tcW w:w="806" w:type="dxa"/>
            <w:tcBorders>
              <w:top w:val="nil"/>
              <w:left w:val="nil"/>
              <w:bottom w:val="single" w:sz="4" w:space="0" w:color="FFFFFF" w:themeColor="background1"/>
              <w:right w:val="nil"/>
            </w:tcBorders>
            <w:shd w:val="clear" w:color="auto" w:fill="auto"/>
            <w:noWrap/>
            <w:vAlign w:val="bottom"/>
            <w:hideMark/>
          </w:tcPr>
          <w:p w14:paraId="0E999F35"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56,1</w:t>
            </w:r>
          </w:p>
        </w:tc>
        <w:tc>
          <w:tcPr>
            <w:tcW w:w="784" w:type="dxa"/>
            <w:tcBorders>
              <w:top w:val="nil"/>
              <w:left w:val="single" w:sz="4" w:space="0" w:color="auto"/>
              <w:bottom w:val="single" w:sz="4" w:space="0" w:color="FFFFFF" w:themeColor="background1"/>
              <w:right w:val="single" w:sz="4" w:space="0" w:color="auto"/>
            </w:tcBorders>
            <w:shd w:val="clear" w:color="auto" w:fill="auto"/>
            <w:noWrap/>
            <w:vAlign w:val="bottom"/>
            <w:hideMark/>
          </w:tcPr>
          <w:p w14:paraId="367D6C4D" w14:textId="77777777" w:rsidR="00DD3B76" w:rsidRPr="0036109B" w:rsidRDefault="00DD3B76" w:rsidP="00B20E50">
            <w:pPr>
              <w:spacing w:after="0" w:line="240" w:lineRule="auto"/>
              <w:jc w:val="right"/>
              <w:rPr>
                <w:rFonts w:eastAsia="Times New Roman" w:cstheme="minorHAnsi"/>
                <w:i/>
                <w:iCs/>
                <w:color w:val="000000"/>
                <w:sz w:val="14"/>
                <w:szCs w:val="14"/>
                <w:lang w:eastAsia="nl-BE"/>
              </w:rPr>
            </w:pPr>
            <w:r w:rsidRPr="0036109B">
              <w:rPr>
                <w:rFonts w:eastAsia="Times New Roman" w:cstheme="minorHAnsi"/>
                <w:i/>
                <w:iCs/>
                <w:color w:val="000000"/>
                <w:sz w:val="14"/>
                <w:szCs w:val="14"/>
                <w:lang w:val="de" w:eastAsia="nl-BE"/>
              </w:rPr>
              <w:t>485,4</w:t>
            </w:r>
          </w:p>
        </w:tc>
      </w:tr>
      <w:tr w:rsidR="00DD3B76" w14:paraId="654BDEFC" w14:textId="77777777" w:rsidTr="00B20E50">
        <w:tc>
          <w:tcPr>
            <w:tcW w:w="1838"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062C4908" w14:textId="77777777" w:rsidR="00DD3B76" w:rsidRPr="0036109B" w:rsidRDefault="00DD3B76" w:rsidP="00B20E50">
            <w:pPr>
              <w:spacing w:after="0" w:line="240" w:lineRule="auto"/>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Ozeanien</w:t>
            </w:r>
          </w:p>
        </w:tc>
        <w:tc>
          <w:tcPr>
            <w:tcW w:w="805" w:type="dxa"/>
            <w:tcBorders>
              <w:top w:val="single" w:sz="4" w:space="0" w:color="auto"/>
              <w:left w:val="single" w:sz="4" w:space="0" w:color="auto"/>
              <w:bottom w:val="single" w:sz="4" w:space="0" w:color="auto"/>
              <w:right w:val="single" w:sz="4" w:space="0" w:color="FFFFFF" w:themeColor="background1"/>
            </w:tcBorders>
            <w:shd w:val="clear" w:color="auto" w:fill="D9D9D9" w:themeFill="background1" w:themeFillShade="D9"/>
            <w:vAlign w:val="bottom"/>
            <w:hideMark/>
          </w:tcPr>
          <w:p w14:paraId="6BFA769E"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0,0</w:t>
            </w:r>
          </w:p>
        </w:tc>
        <w:tc>
          <w:tcPr>
            <w:tcW w:w="896" w:type="dxa"/>
            <w:tcBorders>
              <w:top w:val="single" w:sz="4" w:space="0" w:color="auto"/>
              <w:left w:val="nil"/>
              <w:bottom w:val="single" w:sz="4" w:space="0" w:color="auto"/>
              <w:right w:val="single" w:sz="4" w:space="0" w:color="FFFFFF" w:themeColor="background1"/>
            </w:tcBorders>
            <w:shd w:val="clear" w:color="auto" w:fill="D9D9D9" w:themeFill="background1" w:themeFillShade="D9"/>
            <w:vAlign w:val="bottom"/>
            <w:hideMark/>
          </w:tcPr>
          <w:p w14:paraId="02A58CE1"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214,4</w:t>
            </w:r>
          </w:p>
        </w:tc>
        <w:tc>
          <w:tcPr>
            <w:tcW w:w="992" w:type="dxa"/>
            <w:tcBorders>
              <w:top w:val="single" w:sz="4" w:space="0" w:color="auto"/>
              <w:left w:val="nil"/>
              <w:bottom w:val="single" w:sz="4" w:space="0" w:color="auto"/>
              <w:right w:val="single" w:sz="4" w:space="0" w:color="FFFFFF" w:themeColor="background1"/>
            </w:tcBorders>
            <w:shd w:val="clear" w:color="auto" w:fill="D9D9D9" w:themeFill="background1" w:themeFillShade="D9"/>
            <w:vAlign w:val="bottom"/>
            <w:hideMark/>
          </w:tcPr>
          <w:p w14:paraId="241A426C"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220,9</w:t>
            </w:r>
          </w:p>
        </w:tc>
        <w:tc>
          <w:tcPr>
            <w:tcW w:w="73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E72E2EF"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3,0</w:t>
            </w:r>
          </w:p>
        </w:tc>
        <w:tc>
          <w:tcPr>
            <w:tcW w:w="638" w:type="dxa"/>
            <w:tcBorders>
              <w:top w:val="single" w:sz="4" w:space="0" w:color="auto"/>
              <w:left w:val="nil"/>
              <w:bottom w:val="single" w:sz="4" w:space="0" w:color="auto"/>
              <w:right w:val="single" w:sz="4" w:space="0" w:color="FFFFFF" w:themeColor="background1"/>
            </w:tcBorders>
            <w:shd w:val="clear" w:color="auto" w:fill="D9D9D9" w:themeFill="background1" w:themeFillShade="D9"/>
            <w:noWrap/>
            <w:vAlign w:val="bottom"/>
            <w:hideMark/>
          </w:tcPr>
          <w:p w14:paraId="3878B00F"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0,3</w:t>
            </w:r>
          </w:p>
        </w:tc>
        <w:tc>
          <w:tcPr>
            <w:tcW w:w="805" w:type="dxa"/>
            <w:tcBorders>
              <w:top w:val="single" w:sz="4" w:space="0" w:color="auto"/>
              <w:left w:val="nil"/>
              <w:bottom w:val="single" w:sz="4" w:space="0" w:color="auto"/>
              <w:right w:val="single" w:sz="4" w:space="0" w:color="FFFFFF" w:themeColor="background1"/>
            </w:tcBorders>
            <w:shd w:val="clear" w:color="auto" w:fill="D9D9D9" w:themeFill="background1" w:themeFillShade="D9"/>
            <w:noWrap/>
            <w:vAlign w:val="bottom"/>
            <w:hideMark/>
          </w:tcPr>
          <w:p w14:paraId="090702FF"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1.975,2</w:t>
            </w:r>
          </w:p>
        </w:tc>
        <w:tc>
          <w:tcPr>
            <w:tcW w:w="806" w:type="dxa"/>
            <w:tcBorders>
              <w:top w:val="single" w:sz="4" w:space="0" w:color="auto"/>
              <w:left w:val="nil"/>
              <w:bottom w:val="single" w:sz="4" w:space="0" w:color="auto"/>
              <w:right w:val="single" w:sz="4" w:space="0" w:color="FFFFFF" w:themeColor="background1"/>
            </w:tcBorders>
            <w:shd w:val="clear" w:color="auto" w:fill="D9D9D9" w:themeFill="background1" w:themeFillShade="D9"/>
            <w:noWrap/>
            <w:vAlign w:val="bottom"/>
            <w:hideMark/>
          </w:tcPr>
          <w:p w14:paraId="6D0AB86A"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2.470,8</w:t>
            </w:r>
          </w:p>
        </w:tc>
        <w:tc>
          <w:tcPr>
            <w:tcW w:w="806" w:type="dxa"/>
            <w:tcBorders>
              <w:top w:val="single" w:sz="4" w:space="0" w:color="auto"/>
              <w:left w:val="nil"/>
              <w:bottom w:val="single" w:sz="4" w:space="0" w:color="auto"/>
              <w:right w:val="nil"/>
            </w:tcBorders>
            <w:shd w:val="clear" w:color="auto" w:fill="D9D9D9" w:themeFill="background1" w:themeFillShade="D9"/>
            <w:noWrap/>
            <w:vAlign w:val="bottom"/>
            <w:hideMark/>
          </w:tcPr>
          <w:p w14:paraId="4F51BB29"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25,1</w:t>
            </w:r>
          </w:p>
        </w:tc>
        <w:tc>
          <w:tcPr>
            <w:tcW w:w="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D85E917" w14:textId="77777777" w:rsidR="00DD3B76" w:rsidRPr="0036109B" w:rsidRDefault="00DD3B76" w:rsidP="00B20E50">
            <w:pPr>
              <w:spacing w:after="0" w:line="240" w:lineRule="auto"/>
              <w:jc w:val="right"/>
              <w:rPr>
                <w:rFonts w:eastAsia="Times New Roman" w:cstheme="minorHAnsi"/>
                <w:b/>
                <w:bCs/>
                <w:color w:val="000000"/>
                <w:sz w:val="14"/>
                <w:szCs w:val="14"/>
                <w:lang w:eastAsia="nl-BE"/>
              </w:rPr>
            </w:pPr>
            <w:r w:rsidRPr="0036109B">
              <w:rPr>
                <w:rFonts w:eastAsia="Times New Roman" w:cstheme="minorHAnsi"/>
                <w:b/>
                <w:bCs/>
                <w:color w:val="000000"/>
                <w:sz w:val="14"/>
                <w:szCs w:val="14"/>
                <w:lang w:val="de" w:eastAsia="nl-BE"/>
              </w:rPr>
              <w:t>1.118,7</w:t>
            </w:r>
          </w:p>
        </w:tc>
      </w:tr>
      <w:tr w:rsidR="00DD3B76" w14:paraId="01BE355B" w14:textId="77777777" w:rsidTr="00B20E50">
        <w:tc>
          <w:tcPr>
            <w:tcW w:w="1838"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2AB65C44" w14:textId="77777777" w:rsidR="00DD3B76" w:rsidRPr="0036109B" w:rsidRDefault="00DD3B76" w:rsidP="00B20E50">
            <w:pPr>
              <w:spacing w:after="0" w:line="240" w:lineRule="auto"/>
              <w:rPr>
                <w:rFonts w:eastAsia="Times New Roman" w:cstheme="minorHAnsi"/>
                <w:b/>
                <w:bCs/>
                <w:sz w:val="14"/>
                <w:szCs w:val="14"/>
                <w:lang w:eastAsia="nl-BE"/>
              </w:rPr>
            </w:pPr>
            <w:r w:rsidRPr="0036109B">
              <w:rPr>
                <w:rFonts w:eastAsia="Times New Roman" w:cstheme="minorHAnsi"/>
                <w:b/>
                <w:bCs/>
                <w:sz w:val="14"/>
                <w:szCs w:val="14"/>
                <w:lang w:val="de" w:eastAsia="nl-BE"/>
              </w:rPr>
              <w:t>Gesamt</w:t>
            </w:r>
          </w:p>
        </w:tc>
        <w:tc>
          <w:tcPr>
            <w:tcW w:w="805"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30FE53B4" w14:textId="77777777" w:rsidR="00DD3B76" w:rsidRPr="0036109B" w:rsidRDefault="00DD3B76" w:rsidP="00B20E50">
            <w:pPr>
              <w:spacing w:after="0" w:line="240" w:lineRule="auto"/>
              <w:jc w:val="right"/>
              <w:rPr>
                <w:rFonts w:eastAsia="Times New Roman" w:cstheme="minorHAnsi"/>
                <w:b/>
                <w:bCs/>
                <w:sz w:val="14"/>
                <w:szCs w:val="14"/>
                <w:lang w:eastAsia="nl-BE"/>
              </w:rPr>
            </w:pPr>
            <w:r w:rsidRPr="0036109B">
              <w:rPr>
                <w:rFonts w:eastAsia="Times New Roman" w:cstheme="minorHAnsi"/>
                <w:b/>
                <w:bCs/>
                <w:sz w:val="14"/>
                <w:szCs w:val="14"/>
                <w:lang w:val="de" w:eastAsia="nl-BE"/>
              </w:rPr>
              <w:t>100,0</w:t>
            </w:r>
          </w:p>
        </w:tc>
        <w:tc>
          <w:tcPr>
            <w:tcW w:w="896" w:type="dxa"/>
            <w:tcBorders>
              <w:top w:val="single" w:sz="4" w:space="0" w:color="auto"/>
              <w:left w:val="nil"/>
              <w:bottom w:val="single" w:sz="4" w:space="0" w:color="auto"/>
              <w:right w:val="nil"/>
            </w:tcBorders>
            <w:shd w:val="clear" w:color="auto" w:fill="D9D9D9" w:themeFill="background1" w:themeFillShade="D9"/>
            <w:vAlign w:val="bottom"/>
            <w:hideMark/>
          </w:tcPr>
          <w:p w14:paraId="27DDE04E" w14:textId="77777777" w:rsidR="00DD3B76" w:rsidRPr="0036109B" w:rsidRDefault="00DD3B76" w:rsidP="00B20E50">
            <w:pPr>
              <w:spacing w:after="0" w:line="240" w:lineRule="auto"/>
              <w:jc w:val="right"/>
              <w:rPr>
                <w:rFonts w:eastAsia="Times New Roman" w:cstheme="minorHAnsi"/>
                <w:b/>
                <w:bCs/>
                <w:sz w:val="14"/>
                <w:szCs w:val="14"/>
                <w:lang w:eastAsia="nl-BE"/>
              </w:rPr>
            </w:pPr>
            <w:r w:rsidRPr="0036109B">
              <w:rPr>
                <w:rFonts w:eastAsia="Times New Roman" w:cstheme="minorHAnsi"/>
                <w:b/>
                <w:bCs/>
                <w:sz w:val="14"/>
                <w:szCs w:val="14"/>
                <w:lang w:val="de" w:eastAsia="nl-BE"/>
              </w:rPr>
              <w:t>1.219.655,9</w:t>
            </w:r>
          </w:p>
        </w:tc>
        <w:tc>
          <w:tcPr>
            <w:tcW w:w="992" w:type="dxa"/>
            <w:tcBorders>
              <w:top w:val="single" w:sz="4" w:space="0" w:color="auto"/>
              <w:left w:val="nil"/>
              <w:bottom w:val="single" w:sz="4" w:space="0" w:color="auto"/>
              <w:right w:val="nil"/>
            </w:tcBorders>
            <w:shd w:val="clear" w:color="auto" w:fill="D9D9D9" w:themeFill="background1" w:themeFillShade="D9"/>
            <w:vAlign w:val="bottom"/>
            <w:hideMark/>
          </w:tcPr>
          <w:p w14:paraId="05F2E7DB" w14:textId="77777777" w:rsidR="00DD3B76" w:rsidRPr="0036109B" w:rsidRDefault="00DD3B76" w:rsidP="00B20E50">
            <w:pPr>
              <w:spacing w:after="0" w:line="240" w:lineRule="auto"/>
              <w:jc w:val="right"/>
              <w:rPr>
                <w:rFonts w:eastAsia="Times New Roman" w:cstheme="minorHAnsi"/>
                <w:b/>
                <w:bCs/>
                <w:sz w:val="14"/>
                <w:szCs w:val="14"/>
                <w:lang w:eastAsia="nl-BE"/>
              </w:rPr>
            </w:pPr>
            <w:r w:rsidRPr="0036109B">
              <w:rPr>
                <w:rFonts w:eastAsia="Times New Roman" w:cstheme="minorHAnsi"/>
                <w:b/>
                <w:bCs/>
                <w:sz w:val="14"/>
                <w:szCs w:val="14"/>
                <w:lang w:val="de" w:eastAsia="nl-BE"/>
              </w:rPr>
              <w:t>1.232.934,8</w:t>
            </w:r>
          </w:p>
        </w:tc>
        <w:tc>
          <w:tcPr>
            <w:tcW w:w="735" w:type="dxa"/>
            <w:tcBorders>
              <w:top w:val="single" w:sz="4" w:space="0" w:color="auto"/>
              <w:left w:val="nil"/>
              <w:bottom w:val="single" w:sz="4" w:space="0" w:color="auto"/>
              <w:right w:val="nil"/>
            </w:tcBorders>
            <w:shd w:val="clear" w:color="auto" w:fill="D9D9D9" w:themeFill="background1" w:themeFillShade="D9"/>
            <w:noWrap/>
            <w:vAlign w:val="bottom"/>
            <w:hideMark/>
          </w:tcPr>
          <w:p w14:paraId="52B57607" w14:textId="77777777" w:rsidR="00DD3B76" w:rsidRPr="0036109B" w:rsidRDefault="00DD3B76" w:rsidP="00B20E50">
            <w:pPr>
              <w:spacing w:after="0" w:line="240" w:lineRule="auto"/>
              <w:jc w:val="right"/>
              <w:rPr>
                <w:rFonts w:eastAsia="Times New Roman" w:cstheme="minorHAnsi"/>
                <w:b/>
                <w:bCs/>
                <w:sz w:val="14"/>
                <w:szCs w:val="14"/>
                <w:lang w:eastAsia="nl-BE"/>
              </w:rPr>
            </w:pPr>
            <w:r w:rsidRPr="0036109B">
              <w:rPr>
                <w:rFonts w:eastAsia="Times New Roman" w:cstheme="minorHAnsi"/>
                <w:b/>
                <w:bCs/>
                <w:sz w:val="14"/>
                <w:szCs w:val="14"/>
                <w:lang w:val="de" w:eastAsia="nl-BE"/>
              </w:rPr>
              <w:t>1,1</w:t>
            </w:r>
          </w:p>
        </w:tc>
        <w:tc>
          <w:tcPr>
            <w:tcW w:w="638" w:type="dxa"/>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167DD099" w14:textId="77777777" w:rsidR="00DD3B76" w:rsidRPr="0036109B" w:rsidRDefault="00DD3B76" w:rsidP="00B20E50">
            <w:pPr>
              <w:spacing w:after="0" w:line="240" w:lineRule="auto"/>
              <w:jc w:val="right"/>
              <w:rPr>
                <w:rFonts w:eastAsia="Times New Roman" w:cstheme="minorHAnsi"/>
                <w:b/>
                <w:bCs/>
                <w:sz w:val="14"/>
                <w:szCs w:val="14"/>
                <w:lang w:eastAsia="nl-BE"/>
              </w:rPr>
            </w:pPr>
            <w:r w:rsidRPr="0036109B">
              <w:rPr>
                <w:rFonts w:eastAsia="Times New Roman" w:cstheme="minorHAnsi"/>
                <w:b/>
                <w:bCs/>
                <w:sz w:val="14"/>
                <w:szCs w:val="14"/>
                <w:lang w:val="de" w:eastAsia="nl-BE"/>
              </w:rPr>
              <w:t>100,0</w:t>
            </w:r>
          </w:p>
        </w:tc>
        <w:tc>
          <w:tcPr>
            <w:tcW w:w="805" w:type="dxa"/>
            <w:tcBorders>
              <w:top w:val="single" w:sz="4" w:space="0" w:color="auto"/>
              <w:left w:val="nil"/>
              <w:bottom w:val="single" w:sz="4" w:space="0" w:color="auto"/>
              <w:right w:val="nil"/>
            </w:tcBorders>
            <w:shd w:val="clear" w:color="auto" w:fill="D9D9D9" w:themeFill="background1" w:themeFillShade="D9"/>
            <w:vAlign w:val="bottom"/>
            <w:hideMark/>
          </w:tcPr>
          <w:p w14:paraId="73B84031" w14:textId="77777777" w:rsidR="00DD3B76" w:rsidRPr="0036109B" w:rsidRDefault="00DD3B76" w:rsidP="00B20E50">
            <w:pPr>
              <w:spacing w:after="0" w:line="240" w:lineRule="auto"/>
              <w:jc w:val="right"/>
              <w:rPr>
                <w:rFonts w:eastAsia="Times New Roman" w:cstheme="minorHAnsi"/>
                <w:b/>
                <w:bCs/>
                <w:sz w:val="14"/>
                <w:szCs w:val="14"/>
                <w:lang w:eastAsia="nl-BE"/>
              </w:rPr>
            </w:pPr>
            <w:r w:rsidRPr="0036109B">
              <w:rPr>
                <w:rFonts w:eastAsia="Times New Roman" w:cstheme="minorHAnsi"/>
                <w:b/>
                <w:bCs/>
                <w:sz w:val="14"/>
                <w:szCs w:val="14"/>
                <w:lang w:val="de" w:eastAsia="nl-BE"/>
              </w:rPr>
              <w:t>804.048,7</w:t>
            </w:r>
          </w:p>
        </w:tc>
        <w:tc>
          <w:tcPr>
            <w:tcW w:w="806" w:type="dxa"/>
            <w:tcBorders>
              <w:top w:val="single" w:sz="4" w:space="0" w:color="auto"/>
              <w:left w:val="nil"/>
              <w:bottom w:val="single" w:sz="4" w:space="0" w:color="auto"/>
              <w:right w:val="nil"/>
            </w:tcBorders>
            <w:shd w:val="clear" w:color="auto" w:fill="D9D9D9" w:themeFill="background1" w:themeFillShade="D9"/>
            <w:vAlign w:val="bottom"/>
            <w:hideMark/>
          </w:tcPr>
          <w:p w14:paraId="7E8383FE" w14:textId="77777777" w:rsidR="00DD3B76" w:rsidRPr="0036109B" w:rsidRDefault="00DD3B76" w:rsidP="00B20E50">
            <w:pPr>
              <w:spacing w:after="0" w:line="240" w:lineRule="auto"/>
              <w:jc w:val="right"/>
              <w:rPr>
                <w:rFonts w:eastAsia="Times New Roman" w:cstheme="minorHAnsi"/>
                <w:b/>
                <w:bCs/>
                <w:sz w:val="14"/>
                <w:szCs w:val="14"/>
                <w:lang w:eastAsia="nl-BE"/>
              </w:rPr>
            </w:pPr>
            <w:r w:rsidRPr="0036109B">
              <w:rPr>
                <w:rFonts w:eastAsia="Times New Roman" w:cstheme="minorHAnsi"/>
                <w:b/>
                <w:bCs/>
                <w:sz w:val="14"/>
                <w:szCs w:val="14"/>
                <w:lang w:val="de" w:eastAsia="nl-BE"/>
              </w:rPr>
              <w:t>807.520,1</w:t>
            </w:r>
          </w:p>
        </w:tc>
        <w:tc>
          <w:tcPr>
            <w:tcW w:w="80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66BB291" w14:textId="77777777" w:rsidR="00DD3B76" w:rsidRPr="0036109B" w:rsidRDefault="00DD3B76" w:rsidP="00B20E50">
            <w:pPr>
              <w:spacing w:after="0" w:line="240" w:lineRule="auto"/>
              <w:jc w:val="right"/>
              <w:rPr>
                <w:rFonts w:eastAsia="Times New Roman" w:cstheme="minorHAnsi"/>
                <w:b/>
                <w:bCs/>
                <w:sz w:val="14"/>
                <w:szCs w:val="14"/>
                <w:lang w:eastAsia="nl-BE"/>
              </w:rPr>
            </w:pPr>
            <w:r w:rsidRPr="0036109B">
              <w:rPr>
                <w:rFonts w:eastAsia="Times New Roman" w:cstheme="minorHAnsi"/>
                <w:b/>
                <w:bCs/>
                <w:sz w:val="14"/>
                <w:szCs w:val="14"/>
                <w:lang w:val="de" w:eastAsia="nl-BE"/>
              </w:rPr>
              <w:t>0,4</w:t>
            </w:r>
          </w:p>
        </w:tc>
        <w:tc>
          <w:tcPr>
            <w:tcW w:w="78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CAE31ED" w14:textId="77777777" w:rsidR="00DD3B76" w:rsidRPr="0036109B" w:rsidRDefault="00DD3B76" w:rsidP="00B20E50">
            <w:pPr>
              <w:spacing w:after="0" w:line="240" w:lineRule="auto"/>
              <w:jc w:val="right"/>
              <w:rPr>
                <w:rFonts w:eastAsia="Times New Roman" w:cstheme="minorHAnsi"/>
                <w:b/>
                <w:bCs/>
                <w:sz w:val="14"/>
                <w:szCs w:val="14"/>
                <w:lang w:eastAsia="nl-BE"/>
              </w:rPr>
            </w:pPr>
            <w:r w:rsidRPr="0036109B">
              <w:rPr>
                <w:rFonts w:eastAsia="Times New Roman" w:cstheme="minorHAnsi"/>
                <w:b/>
                <w:bCs/>
                <w:sz w:val="14"/>
                <w:szCs w:val="14"/>
                <w:lang w:val="de" w:eastAsia="nl-BE"/>
              </w:rPr>
              <w:t>65,5</w:t>
            </w:r>
          </w:p>
        </w:tc>
      </w:tr>
    </w:tbl>
    <w:p w14:paraId="791198E1" w14:textId="77777777" w:rsidR="00DD3B76" w:rsidRDefault="00DD3B76" w:rsidP="00DD3B76">
      <w:pPr>
        <w:rPr>
          <w:rFonts w:cstheme="minorHAnsi"/>
          <w:color w:val="000000"/>
          <w:lang w:val="nl-NL"/>
        </w:rPr>
      </w:pPr>
      <w:r>
        <w:rPr>
          <w:rFonts w:cstheme="minorHAnsi"/>
          <w:color w:val="000000"/>
          <w:lang w:val="nl-NL"/>
        </w:rPr>
        <w:br w:type="page"/>
      </w:r>
    </w:p>
    <w:p w14:paraId="5EAF358C" w14:textId="77777777" w:rsidR="00DD3B76" w:rsidRDefault="00DD3B76" w:rsidP="00DD3B76">
      <w:pPr>
        <w:spacing w:after="0" w:line="240" w:lineRule="auto"/>
        <w:rPr>
          <w:rFonts w:cstheme="minorHAnsi"/>
          <w:b/>
          <w:bCs/>
          <w:color w:val="000000"/>
          <w:lang w:val="nl-NL"/>
        </w:rPr>
      </w:pPr>
      <w:r>
        <w:rPr>
          <w:rFonts w:cstheme="minorHAnsi"/>
          <w:b/>
          <w:bCs/>
          <w:color w:val="000000"/>
          <w:lang w:val="de"/>
        </w:rPr>
        <w:lastRenderedPageBreak/>
        <w:t>SCHLUSSWORT</w:t>
      </w:r>
    </w:p>
    <w:p w14:paraId="02A63519" w14:textId="77777777" w:rsidR="00DD3B76" w:rsidRPr="00BA2211" w:rsidRDefault="00DD3B76" w:rsidP="00DD3B76">
      <w:pPr>
        <w:spacing w:after="0" w:line="240" w:lineRule="auto"/>
        <w:rPr>
          <w:rFonts w:cstheme="minorHAnsi"/>
          <w:b/>
          <w:bCs/>
          <w:color w:val="000000"/>
          <w:lang w:val="nl-NL"/>
        </w:rPr>
      </w:pPr>
    </w:p>
    <w:p w14:paraId="3D4FAF83" w14:textId="77777777" w:rsidR="00DD3B76" w:rsidRPr="00AA5743" w:rsidRDefault="00DD3B76" w:rsidP="00DD3B76">
      <w:pPr>
        <w:spacing w:after="0" w:line="240" w:lineRule="auto"/>
        <w:jc w:val="both"/>
        <w:rPr>
          <w:color w:val="000000"/>
          <w:lang w:val="de-DE"/>
        </w:rPr>
      </w:pPr>
      <w:r w:rsidRPr="1C83DAF5">
        <w:rPr>
          <w:color w:val="000000" w:themeColor="text1"/>
          <w:lang w:val="de"/>
        </w:rPr>
        <w:t>Die Phase geringerer wirtschaftlicher Aktivität, die die Möbelbranche, wie auch viele andere Wirtschaftszweige, durchlebt, hindert die Unternehmen nicht daran, den Weg der Nachhaltigkeit, der Kreislaufwirtschaft und der Innovation/Produktentwicklung weiter zu beschreiten und sich auf die Zukunft vorzubereiten.</w:t>
      </w:r>
    </w:p>
    <w:p w14:paraId="350D0D9C" w14:textId="77777777" w:rsidR="00DD3B76" w:rsidRPr="00AA5743" w:rsidRDefault="00DD3B76" w:rsidP="00DD3B76">
      <w:pPr>
        <w:spacing w:after="0" w:line="240" w:lineRule="auto"/>
        <w:jc w:val="both"/>
        <w:rPr>
          <w:rFonts w:cstheme="minorHAnsi"/>
          <w:color w:val="000000"/>
          <w:lang w:val="de-DE"/>
        </w:rPr>
      </w:pPr>
    </w:p>
    <w:p w14:paraId="50CFDC0F" w14:textId="77777777" w:rsidR="00DD3B76" w:rsidRPr="00AA5743" w:rsidRDefault="00DD3B76" w:rsidP="00DD3B76">
      <w:pPr>
        <w:spacing w:after="0" w:line="240" w:lineRule="auto"/>
        <w:jc w:val="both"/>
        <w:rPr>
          <w:rFonts w:cstheme="minorHAnsi"/>
          <w:color w:val="000000"/>
          <w:lang w:val="de-DE"/>
        </w:rPr>
      </w:pPr>
      <w:r>
        <w:rPr>
          <w:rFonts w:cstheme="minorHAnsi"/>
          <w:color w:val="000000"/>
          <w:lang w:val="de"/>
        </w:rPr>
        <w:t xml:space="preserve">Zum Teil im Lichte von Gesetzesinitiativen, wie der erweiterten Herstellerverantwortung, werden verstärkte Anstrengungen unternommen, z.B. Ökodesign und „Design </w:t>
      </w:r>
      <w:proofErr w:type="spellStart"/>
      <w:r>
        <w:rPr>
          <w:rFonts w:cstheme="minorHAnsi"/>
          <w:color w:val="000000"/>
          <w:lang w:val="de"/>
        </w:rPr>
        <w:t>for</w:t>
      </w:r>
      <w:proofErr w:type="spellEnd"/>
      <w:r>
        <w:rPr>
          <w:rFonts w:cstheme="minorHAnsi"/>
          <w:color w:val="000000"/>
          <w:lang w:val="de"/>
        </w:rPr>
        <w:t xml:space="preserve"> </w:t>
      </w:r>
      <w:proofErr w:type="spellStart"/>
      <w:r>
        <w:rPr>
          <w:rFonts w:cstheme="minorHAnsi"/>
          <w:color w:val="000000"/>
          <w:lang w:val="de"/>
        </w:rPr>
        <w:t>Disassembly</w:t>
      </w:r>
      <w:proofErr w:type="spellEnd"/>
      <w:r>
        <w:rPr>
          <w:rFonts w:cstheme="minorHAnsi"/>
          <w:color w:val="000000"/>
          <w:lang w:val="de"/>
        </w:rPr>
        <w:t>“, das die Wiederverwendung und das Recycling von Materialien und Rohstoffen ermöglicht. Ein Vorreiter in diesem Bereich ist zweifellos der Matratzensektor, wo zunehmend kreislauffähige Lösungen auf dem Markt angeboten werden. Die belgischen Hersteller nehmen hier eine führende Rolle ein und dienen ihren europäischen Kollegen oft als Beispiel. Die Aufgabe besteht nun darin, auch die Verbraucher für die Bedeutung dieser kreislauforientierten und ökologisch verantwortungsvollen Lösungen und Produkte zu sensibilisieren.</w:t>
      </w:r>
    </w:p>
    <w:p w14:paraId="513A02BD" w14:textId="77777777" w:rsidR="00DD3B76" w:rsidRPr="00AA5743" w:rsidRDefault="00DD3B76" w:rsidP="00DD3B76">
      <w:pPr>
        <w:spacing w:after="0" w:line="240" w:lineRule="auto"/>
        <w:jc w:val="both"/>
        <w:rPr>
          <w:color w:val="000000" w:themeColor="text1"/>
          <w:lang w:val="de-DE"/>
        </w:rPr>
      </w:pPr>
    </w:p>
    <w:p w14:paraId="3987FDF4" w14:textId="77777777" w:rsidR="00DD3B76" w:rsidRPr="00AA5743" w:rsidRDefault="00DD3B76" w:rsidP="00DD3B76">
      <w:pPr>
        <w:pStyle w:val="xmsoplaintext"/>
        <w:spacing w:before="0" w:beforeAutospacing="0" w:after="0" w:afterAutospacing="0"/>
        <w:jc w:val="both"/>
        <w:rPr>
          <w:lang w:val="de-DE"/>
        </w:rPr>
      </w:pPr>
      <w:r w:rsidRPr="00315ED8">
        <w:rPr>
          <w:lang w:val="de"/>
        </w:rPr>
        <w:t xml:space="preserve">In den letzten Jahren hat sich der Fokus auch zunehmend auf die Nachhaltigkeit gerichtet. Während die Europäische Holzverordnung, die 2013 in Kraft trat, den Schwerpunkt auf die </w:t>
      </w:r>
      <w:r>
        <w:rPr>
          <w:lang w:val="de"/>
        </w:rPr>
        <w:t xml:space="preserve">Legalität </w:t>
      </w:r>
      <w:r w:rsidRPr="00315ED8">
        <w:rPr>
          <w:lang w:val="de"/>
        </w:rPr>
        <w:t xml:space="preserve">legte, verleiht die Einführung der EU-Verordnung zur Entwaldung, die nun mit einem Jahr Verspätung in Kraft tritt, diesem Aspekt einen zusätzlichen Schub. Denn zusätzlich zu den gesetzlichen Bestimmungen wird nun auch die nachhaltige Herkunft des Holzes berücksichtigt. Darüber hinaus werden Sitzmöbel, die bisher von den Verpflichtungen der Holzverordnung ausgenommen waren, nun ebenfalls von dieser Gesetzgebung erfasst. Für Importeure, aber auch für Exporteure, ergeben sich daraus zusätzliche Maßnahmen und Verpflichtungen, um sowohl die </w:t>
      </w:r>
      <w:r>
        <w:rPr>
          <w:lang w:val="de"/>
        </w:rPr>
        <w:t>Legalität</w:t>
      </w:r>
      <w:r w:rsidRPr="00315ED8">
        <w:rPr>
          <w:lang w:val="de"/>
        </w:rPr>
        <w:t xml:space="preserve"> als auch die Nachhaltigkeit der angebotenen Produkte zu gewährleisten. </w:t>
      </w:r>
      <w:proofErr w:type="spellStart"/>
      <w:r w:rsidRPr="00315ED8">
        <w:rPr>
          <w:lang w:val="de"/>
        </w:rPr>
        <w:t>Fedustria</w:t>
      </w:r>
      <w:proofErr w:type="spellEnd"/>
      <w:r w:rsidRPr="00315ED8">
        <w:rPr>
          <w:lang w:val="de"/>
        </w:rPr>
        <w:t xml:space="preserve"> berät und unterstützt seine Mitglieder in dieser Angelegenheit und arbeitet dabei eng mit den europäischen Dachverbänden CEI-Bois (</w:t>
      </w:r>
      <w:r>
        <w:rPr>
          <w:lang w:val="de"/>
        </w:rPr>
        <w:t>Zentralverband der europäischen Holzindustrie</w:t>
      </w:r>
      <w:r w:rsidRPr="00315ED8">
        <w:rPr>
          <w:lang w:val="de"/>
        </w:rPr>
        <w:t xml:space="preserve">) und EFIC (European Furniture Industries </w:t>
      </w:r>
      <w:proofErr w:type="spellStart"/>
      <w:r w:rsidRPr="00315ED8">
        <w:rPr>
          <w:lang w:val="de"/>
        </w:rPr>
        <w:t>Confederation</w:t>
      </w:r>
      <w:proofErr w:type="spellEnd"/>
      <w:r w:rsidRPr="00315ED8">
        <w:rPr>
          <w:lang w:val="de"/>
        </w:rPr>
        <w:t xml:space="preserve">) zusammen. </w:t>
      </w:r>
    </w:p>
    <w:p w14:paraId="312645B2" w14:textId="77777777" w:rsidR="00DD3B76" w:rsidRPr="00AA5743" w:rsidRDefault="00DD3B76" w:rsidP="00DD3B76">
      <w:pPr>
        <w:pStyle w:val="xmsoplaintext"/>
        <w:spacing w:before="0" w:beforeAutospacing="0" w:after="0" w:afterAutospacing="0"/>
        <w:jc w:val="both"/>
        <w:rPr>
          <w:lang w:val="de-DE"/>
        </w:rPr>
      </w:pPr>
      <w:r w:rsidRPr="00AA5743">
        <w:rPr>
          <w:lang w:val="de-DE"/>
        </w:rPr>
        <w:t> </w:t>
      </w:r>
    </w:p>
    <w:p w14:paraId="244C7F27" w14:textId="77777777" w:rsidR="00DD3B76" w:rsidRPr="00AA5743" w:rsidRDefault="00DD3B76" w:rsidP="00DD3B76">
      <w:pPr>
        <w:pStyle w:val="xmsoplaintext"/>
        <w:spacing w:before="0" w:beforeAutospacing="0" w:after="0" w:afterAutospacing="0"/>
        <w:jc w:val="both"/>
        <w:rPr>
          <w:lang w:val="de-DE"/>
        </w:rPr>
      </w:pPr>
      <w:r w:rsidRPr="00315ED8">
        <w:rPr>
          <w:lang w:val="de"/>
        </w:rPr>
        <w:t xml:space="preserve">Die mögliche Verschiebung der Verpflichtungen um ein Jahr - das Europäische Parlament muss noch zustimmen - sollte die Marktteilnehmer keinesfalls dazu verleiten, die Vorbereitungen auf die neuen Verpflichtungen auszusetzen oder zu verzögern. Im Gegenteil, </w:t>
      </w:r>
      <w:proofErr w:type="spellStart"/>
      <w:r w:rsidRPr="00315ED8">
        <w:rPr>
          <w:lang w:val="de"/>
        </w:rPr>
        <w:t>Fedustria</w:t>
      </w:r>
      <w:proofErr w:type="spellEnd"/>
      <w:r w:rsidRPr="00315ED8">
        <w:rPr>
          <w:lang w:val="de"/>
        </w:rPr>
        <w:t xml:space="preserve"> fordert seine Mitglieder auf, diese zusätzlichen Monate zu nutzen, um sich gut vorzubereiten.</w:t>
      </w:r>
    </w:p>
    <w:p w14:paraId="25B6CB91" w14:textId="77777777" w:rsidR="00DD3B76" w:rsidRPr="00AA5743" w:rsidRDefault="00DD3B76" w:rsidP="00DD3B76">
      <w:pPr>
        <w:spacing w:after="0" w:line="240" w:lineRule="auto"/>
        <w:jc w:val="both"/>
        <w:rPr>
          <w:color w:val="000000" w:themeColor="text1"/>
          <w:lang w:val="de-DE"/>
        </w:rPr>
      </w:pPr>
    </w:p>
    <w:p w14:paraId="70AC4FB1" w14:textId="77777777" w:rsidR="00DD3B76" w:rsidRPr="00AA5743" w:rsidRDefault="00DD3B76" w:rsidP="00DD3B76">
      <w:pPr>
        <w:spacing w:after="0" w:line="240" w:lineRule="auto"/>
        <w:jc w:val="both"/>
        <w:rPr>
          <w:color w:val="000000" w:themeColor="text1"/>
          <w:lang w:val="de-DE"/>
        </w:rPr>
      </w:pPr>
      <w:r w:rsidRPr="1C83DAF5">
        <w:rPr>
          <w:color w:val="000000" w:themeColor="text1"/>
          <w:lang w:val="de"/>
        </w:rPr>
        <w:t xml:space="preserve">Mit Initiativen wie der Trendplattform </w:t>
      </w:r>
      <w:hyperlink r:id="rId14" w:history="1">
        <w:hyperlink r:id="rId15" w:history="1">
          <w:r w:rsidRPr="1C83DAF5">
            <w:rPr>
              <w:rStyle w:val="Hyperlink"/>
              <w:lang w:val="de"/>
            </w:rPr>
            <w:t>WATF</w:t>
          </w:r>
        </w:hyperlink>
      </w:hyperlink>
      <w:r w:rsidRPr="1C83DAF5">
        <w:rPr>
          <w:color w:val="000000" w:themeColor="text1"/>
          <w:lang w:val="de"/>
        </w:rPr>
        <w:t xml:space="preserve"> (</w:t>
      </w:r>
      <w:proofErr w:type="spellStart"/>
      <w:r w:rsidRPr="1C83DAF5">
        <w:rPr>
          <w:color w:val="000000" w:themeColor="text1"/>
          <w:lang w:val="de"/>
        </w:rPr>
        <w:t>Woodcrafts</w:t>
      </w:r>
      <w:proofErr w:type="spellEnd"/>
      <w:r w:rsidRPr="1C83DAF5">
        <w:rPr>
          <w:color w:val="000000" w:themeColor="text1"/>
          <w:lang w:val="de"/>
        </w:rPr>
        <w:t xml:space="preserve"> and Textile Futures) und dem MINT-Tool </w:t>
      </w:r>
      <w:hyperlink r:id="rId16" w:history="1">
        <w:r w:rsidRPr="1C83DAF5">
          <w:rPr>
            <w:color w:val="000000" w:themeColor="text1"/>
            <w:lang w:val="de"/>
          </w:rPr>
          <w:t>TWIINZ</w:t>
        </w:r>
        <w:r w:rsidRPr="1C83DAF5">
          <w:rPr>
            <w:rStyle w:val="Hyperlink"/>
            <w:lang w:val="de"/>
          </w:rPr>
          <w:t>.WORLD</w:t>
        </w:r>
      </w:hyperlink>
      <w:r w:rsidRPr="1C83DAF5">
        <w:rPr>
          <w:color w:val="000000" w:themeColor="text1"/>
          <w:lang w:val="de"/>
        </w:rPr>
        <w:t xml:space="preserve">, das in Zusammenarbeit mit der Jugendmarketing-Agentur </w:t>
      </w:r>
      <w:proofErr w:type="spellStart"/>
      <w:r w:rsidRPr="1C83DAF5">
        <w:rPr>
          <w:color w:val="000000" w:themeColor="text1"/>
          <w:lang w:val="de"/>
        </w:rPr>
        <w:t>Trendwolves</w:t>
      </w:r>
      <w:proofErr w:type="spellEnd"/>
      <w:r w:rsidRPr="1C83DAF5">
        <w:rPr>
          <w:color w:val="000000" w:themeColor="text1"/>
          <w:lang w:val="de"/>
        </w:rPr>
        <w:t xml:space="preserve"> entwickelt wurde, will </w:t>
      </w:r>
      <w:proofErr w:type="spellStart"/>
      <w:r w:rsidRPr="1C83DAF5">
        <w:rPr>
          <w:color w:val="000000" w:themeColor="text1"/>
          <w:lang w:val="de"/>
        </w:rPr>
        <w:t>Fedustria</w:t>
      </w:r>
      <w:proofErr w:type="spellEnd"/>
      <w:r w:rsidRPr="1C83DAF5">
        <w:rPr>
          <w:color w:val="000000" w:themeColor="text1"/>
          <w:lang w:val="de"/>
        </w:rPr>
        <w:t xml:space="preserve"> junge Talente an die Branche heranführen.  Anfang Oktober wurde das zweite Jahr in Folge ein Trendreport veröffentlicht, diesmal mit dem Schwerpunkt „</w:t>
      </w:r>
      <w:proofErr w:type="spellStart"/>
      <w:r w:rsidRPr="1C83DAF5">
        <w:rPr>
          <w:color w:val="000000" w:themeColor="text1"/>
          <w:lang w:val="de"/>
        </w:rPr>
        <w:t>Augmented</w:t>
      </w:r>
      <w:proofErr w:type="spellEnd"/>
      <w:r w:rsidRPr="1C83DAF5">
        <w:rPr>
          <w:color w:val="000000" w:themeColor="text1"/>
          <w:lang w:val="de"/>
        </w:rPr>
        <w:t xml:space="preserve"> </w:t>
      </w:r>
      <w:proofErr w:type="spellStart"/>
      <w:r w:rsidRPr="1C83DAF5">
        <w:rPr>
          <w:color w:val="000000" w:themeColor="text1"/>
          <w:lang w:val="de"/>
        </w:rPr>
        <w:t>Creativity</w:t>
      </w:r>
      <w:proofErr w:type="spellEnd"/>
      <w:r w:rsidRPr="1C83DAF5">
        <w:rPr>
          <w:color w:val="000000" w:themeColor="text1"/>
          <w:lang w:val="de"/>
        </w:rPr>
        <w:t xml:space="preserve">“, der eine Reihe von inspirierenden Beispielen aus der Branche enthält. Über TWIINZ.WORLD können 10- bis 14-Jährige in einer virtuellen Welt mit 3D-Produkten von </w:t>
      </w:r>
      <w:proofErr w:type="spellStart"/>
      <w:r w:rsidRPr="1C83DAF5">
        <w:rPr>
          <w:color w:val="000000" w:themeColor="text1"/>
          <w:lang w:val="de"/>
        </w:rPr>
        <w:t>Fedustria</w:t>
      </w:r>
      <w:proofErr w:type="spellEnd"/>
      <w:r w:rsidRPr="1C83DAF5">
        <w:rPr>
          <w:color w:val="000000" w:themeColor="text1"/>
          <w:lang w:val="de"/>
        </w:rPr>
        <w:t xml:space="preserve">-Mitgliedsunternehmen kreativ werden und ihre eigene Traumwelt erschaffen. </w:t>
      </w:r>
    </w:p>
    <w:p w14:paraId="1D7A2739" w14:textId="77777777" w:rsidR="00DD3B76" w:rsidRPr="00AA5743" w:rsidRDefault="00DD3B76" w:rsidP="00DD3B76">
      <w:pPr>
        <w:spacing w:after="0" w:line="240" w:lineRule="auto"/>
        <w:jc w:val="both"/>
        <w:rPr>
          <w:color w:val="000000" w:themeColor="text1"/>
          <w:lang w:val="de-DE"/>
        </w:rPr>
      </w:pPr>
    </w:p>
    <w:p w14:paraId="723F7B2A" w14:textId="77777777" w:rsidR="00DD3B76" w:rsidRPr="00AA5743" w:rsidRDefault="00DD3B76" w:rsidP="00DD3B76">
      <w:pPr>
        <w:spacing w:after="0" w:line="240" w:lineRule="auto"/>
        <w:jc w:val="both"/>
        <w:rPr>
          <w:color w:val="000000" w:themeColor="text1"/>
          <w:lang w:val="de-DE"/>
        </w:rPr>
      </w:pPr>
      <w:r w:rsidRPr="1B697D38">
        <w:rPr>
          <w:color w:val="000000" w:themeColor="text1"/>
          <w:lang w:val="de"/>
        </w:rPr>
        <w:t>Die belgischen Möbelhersteller sind auch auf der Suche nach neuen Marktchancen, insbesondere im Ausland. Gruppenbeteiligungen an Messen unter dem Motto '</w:t>
      </w:r>
      <w:proofErr w:type="spellStart"/>
      <w:r w:rsidRPr="1B697D38">
        <w:rPr>
          <w:color w:val="000000" w:themeColor="text1"/>
          <w:lang w:val="de"/>
        </w:rPr>
        <w:t>Belgian</w:t>
      </w:r>
      <w:proofErr w:type="spellEnd"/>
      <w:r w:rsidRPr="1B697D38">
        <w:rPr>
          <w:color w:val="000000" w:themeColor="text1"/>
          <w:lang w:val="de"/>
        </w:rPr>
        <w:t xml:space="preserve"> Furniture </w:t>
      </w:r>
      <w:proofErr w:type="spellStart"/>
      <w:r w:rsidRPr="1B697D38">
        <w:rPr>
          <w:color w:val="000000" w:themeColor="text1"/>
          <w:lang w:val="de"/>
        </w:rPr>
        <w:t>powered</w:t>
      </w:r>
      <w:proofErr w:type="spellEnd"/>
      <w:r w:rsidRPr="1B697D38">
        <w:rPr>
          <w:color w:val="000000" w:themeColor="text1"/>
          <w:lang w:val="de"/>
        </w:rPr>
        <w:t xml:space="preserve"> </w:t>
      </w:r>
      <w:proofErr w:type="spellStart"/>
      <w:r w:rsidRPr="1B697D38">
        <w:rPr>
          <w:color w:val="000000" w:themeColor="text1"/>
          <w:lang w:val="de"/>
        </w:rPr>
        <w:t>by</w:t>
      </w:r>
      <w:proofErr w:type="spellEnd"/>
      <w:r w:rsidRPr="1B697D38">
        <w:rPr>
          <w:color w:val="000000" w:themeColor="text1"/>
          <w:lang w:val="de"/>
        </w:rPr>
        <w:t xml:space="preserve"> </w:t>
      </w:r>
      <w:proofErr w:type="spellStart"/>
      <w:r w:rsidRPr="1B697D38">
        <w:rPr>
          <w:color w:val="000000" w:themeColor="text1"/>
          <w:lang w:val="de"/>
        </w:rPr>
        <w:t>Fedustria</w:t>
      </w:r>
      <w:proofErr w:type="spellEnd"/>
      <w:r w:rsidRPr="1B697D38">
        <w:rPr>
          <w:color w:val="000000" w:themeColor="text1"/>
          <w:lang w:val="de"/>
        </w:rPr>
        <w:t xml:space="preserve">', wie z.B. in Mailand oder im Nahen Osten, ebnen den Weg. Aber auch die Brüsseler Möbelmesse bietet dafür Möglichkeiten, z.B. mit einem zusätzlichen Fokus auf das Angebot an Außenmöbeln über die „Outdoor-Insel“. </w:t>
      </w:r>
    </w:p>
    <w:p w14:paraId="0864E2B6" w14:textId="77777777" w:rsidR="00DD3B76" w:rsidRPr="00AA5743" w:rsidRDefault="00DD3B76" w:rsidP="00DD3B76">
      <w:pPr>
        <w:spacing w:after="0" w:line="240" w:lineRule="auto"/>
        <w:jc w:val="both"/>
        <w:rPr>
          <w:color w:val="000000" w:themeColor="text1"/>
          <w:lang w:val="de-DE"/>
        </w:rPr>
      </w:pPr>
    </w:p>
    <w:p w14:paraId="215A1BB0" w14:textId="77777777" w:rsidR="00DD3B76" w:rsidRPr="00AA5743" w:rsidRDefault="00DD3B76" w:rsidP="00DD3B76">
      <w:pPr>
        <w:spacing w:after="0" w:line="240" w:lineRule="auto"/>
        <w:jc w:val="both"/>
        <w:rPr>
          <w:color w:val="000000" w:themeColor="text1"/>
          <w:lang w:val="de-DE"/>
        </w:rPr>
      </w:pPr>
      <w:r>
        <w:rPr>
          <w:color w:val="000000" w:themeColor="text1"/>
          <w:lang w:val="de"/>
        </w:rPr>
        <w:t>Schließlich wird die Verschiebung der Kölner Möbelmesse Anfang 2025 hoffentlich dazu führen, dass sich deutsche und andere Einkäufer Brüssel zuwenden. Wir werden sie schon jetzt mit offenen Armen empfangen.</w:t>
      </w:r>
    </w:p>
    <w:p w14:paraId="18E4F1ED" w14:textId="77777777" w:rsidR="00DD3B76" w:rsidRPr="00AA5743" w:rsidRDefault="00DD3B76" w:rsidP="00DD3B76">
      <w:pPr>
        <w:spacing w:after="0" w:line="240" w:lineRule="auto"/>
        <w:jc w:val="both"/>
        <w:rPr>
          <w:color w:val="000000"/>
          <w:lang w:val="de-DE"/>
        </w:rPr>
      </w:pPr>
    </w:p>
    <w:p w14:paraId="2221D369" w14:textId="77777777" w:rsidR="00DD3B76" w:rsidRPr="00AA5743" w:rsidRDefault="00DD3B76" w:rsidP="00DD3B76">
      <w:pPr>
        <w:spacing w:line="257" w:lineRule="auto"/>
        <w:jc w:val="center"/>
        <w:rPr>
          <w:rFonts w:cstheme="minorHAnsi"/>
          <w:color w:val="000000"/>
          <w:lang w:val="de-DE"/>
        </w:rPr>
      </w:pPr>
      <w:r>
        <w:rPr>
          <w:rFonts w:cstheme="minorHAnsi"/>
          <w:color w:val="000000"/>
          <w:lang w:val="de"/>
        </w:rPr>
        <w:t>---------------------------------------------------</w:t>
      </w:r>
    </w:p>
    <w:p w14:paraId="06B83379" w14:textId="77777777" w:rsidR="00DD3B76" w:rsidRPr="00AA5743" w:rsidRDefault="00DD3B76" w:rsidP="00DD3B76">
      <w:pPr>
        <w:rPr>
          <w:lang w:val="de-DE"/>
        </w:rPr>
      </w:pPr>
      <w:r>
        <w:rPr>
          <w:lang w:val="de"/>
        </w:rPr>
        <w:t>Zusätzliche Informationen: Katja Devos (</w:t>
      </w:r>
      <w:hyperlink r:id="rId17" w:history="1">
        <w:r w:rsidRPr="008158DF">
          <w:rPr>
            <w:rStyle w:val="Hyperlink"/>
            <w:lang w:val="de"/>
          </w:rPr>
          <w:t>katja.devos@fedustria.be</w:t>
        </w:r>
      </w:hyperlink>
      <w:r>
        <w:rPr>
          <w:lang w:val="de"/>
        </w:rPr>
        <w:t>), +32 476 316467 / Filip De Jaeger (</w:t>
      </w:r>
      <w:hyperlink r:id="rId18" w:history="1">
        <w:r w:rsidRPr="008158DF">
          <w:rPr>
            <w:rStyle w:val="Hyperlink"/>
            <w:lang w:val="de"/>
          </w:rPr>
          <w:t>filip.de.jaeger@fedustria.be</w:t>
        </w:r>
      </w:hyperlink>
      <w:r>
        <w:rPr>
          <w:lang w:val="de"/>
        </w:rPr>
        <w:t>), +32 486 898184</w:t>
      </w:r>
    </w:p>
    <w:p w14:paraId="360EE38C" w14:textId="77777777" w:rsidR="00C56D1C" w:rsidRDefault="00C56D1C" w:rsidP="00476192">
      <w:pPr>
        <w:pStyle w:val="ListParagraph"/>
        <w:rPr>
          <w:sz w:val="24"/>
          <w:szCs w:val="24"/>
          <w:lang w:val="nl-BE"/>
        </w:rPr>
      </w:pPr>
    </w:p>
    <w:p w14:paraId="31A6BE1F" w14:textId="21753C69" w:rsidR="004D5C96" w:rsidRPr="00DD3B76" w:rsidRDefault="00662057" w:rsidP="00DD3B76">
      <w:pPr>
        <w:pStyle w:val="ListParagraph"/>
        <w:numPr>
          <w:ilvl w:val="0"/>
          <w:numId w:val="21"/>
        </w:numPr>
        <w:rPr>
          <w:b/>
          <w:bCs/>
          <w:lang w:val="nl-BE"/>
        </w:rPr>
      </w:pPr>
      <w:r w:rsidRPr="00DD3B76">
        <w:rPr>
          <w:b/>
          <w:bCs/>
          <w:lang w:val="de-DE"/>
        </w:rPr>
        <w:t>BRÜSSELER MÖBELMESSE</w:t>
      </w:r>
    </w:p>
    <w:p w14:paraId="64D877B0" w14:textId="77777777" w:rsidR="004D5C96" w:rsidRPr="00907013" w:rsidRDefault="004D5C96" w:rsidP="004D5C96">
      <w:pPr>
        <w:pStyle w:val="ListParagraph"/>
        <w:rPr>
          <w:b/>
          <w:bCs/>
          <w:lang w:val="nl-BE"/>
        </w:rPr>
      </w:pPr>
    </w:p>
    <w:p w14:paraId="43ACBE43" w14:textId="02770089" w:rsidR="004D5C96" w:rsidRPr="00F03037" w:rsidRDefault="00B579FD" w:rsidP="00662057">
      <w:pPr>
        <w:rPr>
          <w:b/>
          <w:bCs/>
          <w:lang w:val="nl-BE"/>
        </w:rPr>
      </w:pPr>
      <w:r>
        <w:rPr>
          <w:b/>
          <w:bCs/>
          <w:lang w:val="de-DE"/>
        </w:rPr>
        <w:t>K</w:t>
      </w:r>
      <w:r w:rsidR="00662057" w:rsidRPr="00662057">
        <w:rPr>
          <w:b/>
          <w:bCs/>
          <w:lang w:val="de-DE"/>
        </w:rPr>
        <w:t xml:space="preserve">ampagne – </w:t>
      </w:r>
      <w:proofErr w:type="spellStart"/>
      <w:r w:rsidR="00662057" w:rsidRPr="00662057">
        <w:rPr>
          <w:b/>
          <w:bCs/>
          <w:lang w:val="de-DE"/>
        </w:rPr>
        <w:t>Growing</w:t>
      </w:r>
      <w:proofErr w:type="spellEnd"/>
      <w:r w:rsidR="00662057" w:rsidRPr="00662057">
        <w:rPr>
          <w:b/>
          <w:bCs/>
          <w:lang w:val="de-DE"/>
        </w:rPr>
        <w:t xml:space="preserve"> Homes</w:t>
      </w:r>
    </w:p>
    <w:p w14:paraId="0F24AA71" w14:textId="6C07A25A" w:rsidR="004D5C96" w:rsidRPr="00F03037" w:rsidRDefault="00B579FD" w:rsidP="00066C0E">
      <w:pPr>
        <w:rPr>
          <w:lang w:val="nl-BE"/>
        </w:rPr>
      </w:pPr>
      <w:r w:rsidRPr="00BD3AEE">
        <w:rPr>
          <w:lang w:val="de-DE"/>
        </w:rPr>
        <w:t xml:space="preserve">Der </w:t>
      </w:r>
      <w:proofErr w:type="spellStart"/>
      <w:r w:rsidRPr="00BD3AEE">
        <w:rPr>
          <w:lang w:val="de-DE"/>
        </w:rPr>
        <w:t>Kampagneslogan</w:t>
      </w:r>
      <w:proofErr w:type="spellEnd"/>
      <w:r w:rsidRPr="00BD3AEE">
        <w:rPr>
          <w:lang w:val="de-DE"/>
        </w:rPr>
        <w:t xml:space="preserve"> </w:t>
      </w:r>
      <w:proofErr w:type="spellStart"/>
      <w:r w:rsidRPr="00BD3AEE">
        <w:rPr>
          <w:lang w:val="de-DE"/>
        </w:rPr>
        <w:t>Growing</w:t>
      </w:r>
      <w:proofErr w:type="spellEnd"/>
      <w:r w:rsidRPr="00BD3AEE">
        <w:rPr>
          <w:lang w:val="de-DE"/>
        </w:rPr>
        <w:t xml:space="preserve"> Homes </w:t>
      </w:r>
      <w:r w:rsidR="00BD3AEE" w:rsidRPr="00BD3AEE">
        <w:rPr>
          <w:lang w:val="de-DE"/>
        </w:rPr>
        <w:t xml:space="preserve">wurde </w:t>
      </w:r>
      <w:r w:rsidR="00850A02">
        <w:rPr>
          <w:lang w:val="de-DE"/>
        </w:rPr>
        <w:t>bereits</w:t>
      </w:r>
      <w:r w:rsidR="00BD3AEE" w:rsidRPr="00BD3AEE">
        <w:rPr>
          <w:lang w:val="de-DE"/>
        </w:rPr>
        <w:t xml:space="preserve"> einmal in unserem Newsletter Brussels Furniture </w:t>
      </w:r>
      <w:proofErr w:type="spellStart"/>
      <w:r w:rsidR="00BD3AEE" w:rsidRPr="00BD3AEE">
        <w:rPr>
          <w:lang w:val="de-DE"/>
        </w:rPr>
        <w:t>AfFairs</w:t>
      </w:r>
      <w:proofErr w:type="spellEnd"/>
      <w:r w:rsidR="00BD3AEE" w:rsidRPr="00BD3AEE">
        <w:rPr>
          <w:lang w:val="de-DE"/>
        </w:rPr>
        <w:t xml:space="preserve"> ausführlich </w:t>
      </w:r>
      <w:r w:rsidR="00850A02">
        <w:rPr>
          <w:lang w:val="de-DE"/>
        </w:rPr>
        <w:t>erläutert</w:t>
      </w:r>
      <w:r w:rsidR="00BD3AEE" w:rsidRPr="00BD3AEE">
        <w:rPr>
          <w:lang w:val="de-DE"/>
        </w:rPr>
        <w:t xml:space="preserve">, wie </w:t>
      </w:r>
      <w:r w:rsidR="00850A02">
        <w:rPr>
          <w:lang w:val="de-DE"/>
        </w:rPr>
        <w:t xml:space="preserve">auch </w:t>
      </w:r>
      <w:r w:rsidR="00850A02" w:rsidRPr="00BD3AEE">
        <w:rPr>
          <w:lang w:val="de-DE"/>
        </w:rPr>
        <w:t>d</w:t>
      </w:r>
      <w:r w:rsidR="00850A02">
        <w:rPr>
          <w:lang w:val="de-DE"/>
        </w:rPr>
        <w:t>er</w:t>
      </w:r>
      <w:r w:rsidR="00850A02" w:rsidRPr="00BD3AEE">
        <w:rPr>
          <w:lang w:val="de-DE"/>
        </w:rPr>
        <w:t xml:space="preserve"> </w:t>
      </w:r>
      <w:r w:rsidR="00850A02">
        <w:rPr>
          <w:lang w:val="de-DE"/>
        </w:rPr>
        <w:t xml:space="preserve">für die Kampagne </w:t>
      </w:r>
      <w:r w:rsidR="00F169D5">
        <w:rPr>
          <w:lang w:val="de-DE"/>
        </w:rPr>
        <w:t xml:space="preserve">erstellte </w:t>
      </w:r>
      <w:r w:rsidR="00F169D5" w:rsidRPr="00BD3AEE">
        <w:rPr>
          <w:lang w:val="de-DE"/>
        </w:rPr>
        <w:t>Videoclip</w:t>
      </w:r>
      <w:r w:rsidR="00850A02">
        <w:rPr>
          <w:lang w:val="de-DE"/>
        </w:rPr>
        <w:t xml:space="preserve"> </w:t>
      </w:r>
      <w:r w:rsidR="00BD3AEE" w:rsidRPr="00BD3AEE">
        <w:rPr>
          <w:lang w:val="de-DE"/>
        </w:rPr>
        <w:t xml:space="preserve">und </w:t>
      </w:r>
      <w:r w:rsidR="00850A02">
        <w:rPr>
          <w:lang w:val="de-DE"/>
        </w:rPr>
        <w:t>was sich dahinter verbirgt.</w:t>
      </w:r>
      <w:r w:rsidR="008551FD" w:rsidRPr="00F03037">
        <w:rPr>
          <w:lang w:val="nl-BE"/>
        </w:rPr>
        <w:t xml:space="preserve"> </w:t>
      </w:r>
      <w:r w:rsidR="00066C0E" w:rsidRPr="00066C0E">
        <w:rPr>
          <w:lang w:val="de-DE"/>
        </w:rPr>
        <w:t xml:space="preserve">Die vollständige Beschreibung finden Sie in </w:t>
      </w:r>
      <w:r w:rsidR="00850A02">
        <w:rPr>
          <w:lang w:val="de-DE"/>
        </w:rPr>
        <w:t>der</w:t>
      </w:r>
      <w:r w:rsidR="00066C0E" w:rsidRPr="00066C0E">
        <w:rPr>
          <w:lang w:val="de-DE"/>
        </w:rPr>
        <w:t xml:space="preserve"> Vorschau auf unserer Website.</w:t>
      </w:r>
    </w:p>
    <w:p w14:paraId="4988277E" w14:textId="2E7C3756" w:rsidR="00EA4E8F" w:rsidRPr="00F03037" w:rsidRDefault="0028632A" w:rsidP="0028632A">
      <w:pPr>
        <w:rPr>
          <w:lang w:val="nl-BE"/>
        </w:rPr>
      </w:pPr>
      <w:r w:rsidRPr="0028632A">
        <w:rPr>
          <w:lang w:val="de-DE"/>
        </w:rPr>
        <w:t xml:space="preserve">Aber für diese Pressekonferenz und </w:t>
      </w:r>
      <w:r w:rsidR="00850A02">
        <w:rPr>
          <w:lang w:val="de-DE"/>
        </w:rPr>
        <w:t>z</w:t>
      </w:r>
      <w:r w:rsidRPr="0028632A">
        <w:rPr>
          <w:lang w:val="de-DE"/>
        </w:rPr>
        <w:t xml:space="preserve">um </w:t>
      </w:r>
      <w:r w:rsidR="00850A02">
        <w:rPr>
          <w:lang w:val="de-DE"/>
        </w:rPr>
        <w:t>Auffrischen der</w:t>
      </w:r>
      <w:r w:rsidRPr="0028632A">
        <w:rPr>
          <w:lang w:val="de-DE"/>
        </w:rPr>
        <w:t xml:space="preserve"> Erinnerung, fasse ich das Wesentliche </w:t>
      </w:r>
      <w:r w:rsidR="00850A02">
        <w:rPr>
          <w:lang w:val="de-DE"/>
        </w:rPr>
        <w:t xml:space="preserve">hier </w:t>
      </w:r>
      <w:r w:rsidRPr="0028632A">
        <w:rPr>
          <w:lang w:val="de-DE"/>
        </w:rPr>
        <w:t>noch einmal kurz zusammen.</w:t>
      </w:r>
    </w:p>
    <w:p w14:paraId="5A82A7B1" w14:textId="0562EED5" w:rsidR="008604D2" w:rsidRPr="00F03037" w:rsidRDefault="0028632A" w:rsidP="0028632A">
      <w:pPr>
        <w:spacing w:after="0" w:line="240" w:lineRule="auto"/>
        <w:rPr>
          <w:rFonts w:eastAsia="Times New Roman"/>
          <w:lang w:val="nl-BE"/>
        </w:rPr>
      </w:pPr>
      <w:proofErr w:type="spellStart"/>
      <w:r w:rsidRPr="0028632A">
        <w:rPr>
          <w:rFonts w:eastAsia="Times New Roman"/>
          <w:lang w:val="de-DE"/>
        </w:rPr>
        <w:t>Growing</w:t>
      </w:r>
      <w:proofErr w:type="spellEnd"/>
      <w:r w:rsidRPr="0028632A">
        <w:rPr>
          <w:rFonts w:eastAsia="Times New Roman"/>
          <w:lang w:val="de-DE"/>
        </w:rPr>
        <w:t xml:space="preserve"> </w:t>
      </w:r>
      <w:r w:rsidRPr="00DD3B76">
        <w:rPr>
          <w:rFonts w:eastAsia="Times New Roman"/>
          <w:b/>
          <w:bCs/>
          <w:lang w:val="de-DE"/>
        </w:rPr>
        <w:t>Homes</w:t>
      </w:r>
      <w:r w:rsidRPr="0028632A">
        <w:rPr>
          <w:rFonts w:eastAsia="Times New Roman"/>
          <w:lang w:val="de-DE"/>
        </w:rPr>
        <w:t>: Jeder von uns braucht ein Zuhause.</w:t>
      </w:r>
      <w:r w:rsidR="00EA4E8F" w:rsidRPr="00F03037">
        <w:rPr>
          <w:rFonts w:eastAsia="Times New Roman"/>
          <w:lang w:val="nl-BE"/>
        </w:rPr>
        <w:t xml:space="preserve"> </w:t>
      </w:r>
      <w:r w:rsidRPr="0028632A">
        <w:rPr>
          <w:rFonts w:eastAsia="Times New Roman"/>
          <w:lang w:val="de-DE"/>
        </w:rPr>
        <w:t>Als Lebensraum für die Familie.</w:t>
      </w:r>
      <w:r w:rsidR="008604D2" w:rsidRPr="00F03037">
        <w:rPr>
          <w:rFonts w:eastAsia="Times New Roman"/>
          <w:lang w:val="nl-BE"/>
        </w:rPr>
        <w:t xml:space="preserve"> </w:t>
      </w:r>
      <w:r w:rsidRPr="0028632A">
        <w:rPr>
          <w:rFonts w:eastAsia="Times New Roman"/>
          <w:lang w:val="de-DE"/>
        </w:rPr>
        <w:t>Zu</w:t>
      </w:r>
      <w:r w:rsidR="00850A02">
        <w:rPr>
          <w:rFonts w:eastAsia="Times New Roman"/>
          <w:lang w:val="de-DE"/>
        </w:rPr>
        <w:t>m</w:t>
      </w:r>
      <w:r w:rsidRPr="0028632A">
        <w:rPr>
          <w:rFonts w:eastAsia="Times New Roman"/>
          <w:lang w:val="de-DE"/>
        </w:rPr>
        <w:t xml:space="preserve"> Entspann</w:t>
      </w:r>
      <w:r w:rsidR="00850A02">
        <w:rPr>
          <w:rFonts w:eastAsia="Times New Roman"/>
          <w:lang w:val="de-DE"/>
        </w:rPr>
        <w:t>en</w:t>
      </w:r>
      <w:r w:rsidRPr="0028632A">
        <w:rPr>
          <w:rFonts w:eastAsia="Times New Roman"/>
          <w:lang w:val="de-DE"/>
        </w:rPr>
        <w:t xml:space="preserve"> nach einem langen Arbeitstag.</w:t>
      </w:r>
      <w:r w:rsidR="008604D2" w:rsidRPr="00F03037">
        <w:rPr>
          <w:rFonts w:eastAsia="Times New Roman"/>
          <w:lang w:val="nl-BE"/>
        </w:rPr>
        <w:t xml:space="preserve"> </w:t>
      </w:r>
      <w:r w:rsidRPr="0028632A">
        <w:rPr>
          <w:rFonts w:eastAsia="Times New Roman"/>
          <w:lang w:val="de-DE"/>
        </w:rPr>
        <w:t>Um Freunde und Familie willkommen zu heißen.</w:t>
      </w:r>
      <w:r w:rsidR="008604D2" w:rsidRPr="00F03037">
        <w:rPr>
          <w:rFonts w:eastAsia="Times New Roman"/>
          <w:lang w:val="nl-BE"/>
        </w:rPr>
        <w:t xml:space="preserve"> </w:t>
      </w:r>
      <w:r w:rsidRPr="0028632A">
        <w:rPr>
          <w:rFonts w:eastAsia="Times New Roman"/>
          <w:lang w:val="de-DE"/>
        </w:rPr>
        <w:t xml:space="preserve">Als Zufluchtsort, wenn </w:t>
      </w:r>
      <w:r w:rsidR="00185059">
        <w:rPr>
          <w:rFonts w:eastAsia="Times New Roman"/>
          <w:lang w:val="de-DE"/>
        </w:rPr>
        <w:t xml:space="preserve">wir </w:t>
      </w:r>
      <w:r w:rsidRPr="0028632A">
        <w:rPr>
          <w:rFonts w:eastAsia="Times New Roman"/>
          <w:lang w:val="de-DE"/>
        </w:rPr>
        <w:t xml:space="preserve">eine verstörende Nachricht </w:t>
      </w:r>
      <w:r w:rsidR="00185059">
        <w:rPr>
          <w:rFonts w:eastAsia="Times New Roman"/>
          <w:lang w:val="de-DE"/>
        </w:rPr>
        <w:t>erhalten haben</w:t>
      </w:r>
      <w:r w:rsidRPr="0028632A">
        <w:rPr>
          <w:rFonts w:eastAsia="Times New Roman"/>
          <w:lang w:val="de-DE"/>
        </w:rPr>
        <w:t>.</w:t>
      </w:r>
      <w:r w:rsidR="008604D2" w:rsidRPr="00F03037">
        <w:rPr>
          <w:rFonts w:eastAsia="Times New Roman"/>
          <w:lang w:val="nl-BE"/>
        </w:rPr>
        <w:t xml:space="preserve"> </w:t>
      </w:r>
      <w:r w:rsidRPr="0028632A">
        <w:rPr>
          <w:rFonts w:eastAsia="Times New Roman"/>
          <w:lang w:val="de-DE"/>
        </w:rPr>
        <w:t xml:space="preserve">Und selbst nach einem lang ersehnten, erholsamen Urlaub freuen wir uns darauf, in unser vertrautes </w:t>
      </w:r>
      <w:r w:rsidR="00185059">
        <w:rPr>
          <w:rFonts w:eastAsia="Times New Roman"/>
          <w:lang w:val="de-DE"/>
        </w:rPr>
        <w:t>Heim</w:t>
      </w:r>
      <w:r w:rsidRPr="0028632A">
        <w:rPr>
          <w:rFonts w:eastAsia="Times New Roman"/>
          <w:lang w:val="de-DE"/>
        </w:rPr>
        <w:t xml:space="preserve"> zurückzukehren.</w:t>
      </w:r>
    </w:p>
    <w:p w14:paraId="6F2439E3" w14:textId="0B83CDD6" w:rsidR="008604D2" w:rsidRPr="00F03037" w:rsidRDefault="0028632A" w:rsidP="00EA4E8F">
      <w:pPr>
        <w:spacing w:after="0" w:line="240" w:lineRule="auto"/>
        <w:rPr>
          <w:rFonts w:eastAsia="Times New Roman"/>
          <w:lang w:val="nl-BE"/>
        </w:rPr>
      </w:pPr>
      <w:r w:rsidRPr="0028632A">
        <w:rPr>
          <w:rFonts w:eastAsia="Times New Roman"/>
          <w:lang w:val="de-DE"/>
        </w:rPr>
        <w:t xml:space="preserve">Dieses Schaffen eines Gefühls von </w:t>
      </w:r>
      <w:proofErr w:type="spellStart"/>
      <w:r w:rsidRPr="0028632A">
        <w:rPr>
          <w:rFonts w:eastAsia="Times New Roman"/>
          <w:lang w:val="de-DE"/>
        </w:rPr>
        <w:t>Zuhause</w:t>
      </w:r>
      <w:r w:rsidR="00185059">
        <w:rPr>
          <w:rFonts w:eastAsia="Times New Roman"/>
          <w:lang w:val="de-DE"/>
        </w:rPr>
        <w:t>sein</w:t>
      </w:r>
      <w:proofErr w:type="spellEnd"/>
      <w:r w:rsidRPr="0028632A">
        <w:rPr>
          <w:rFonts w:eastAsia="Times New Roman"/>
          <w:lang w:val="de-DE"/>
        </w:rPr>
        <w:t xml:space="preserve"> und Gemütlichkeit ist der Ausgangspunkt eines jeden Möbelherstellers.</w:t>
      </w:r>
      <w:r w:rsidR="008604D2" w:rsidRPr="00F03037">
        <w:rPr>
          <w:rFonts w:eastAsia="Times New Roman"/>
          <w:lang w:val="nl-BE"/>
        </w:rPr>
        <w:t xml:space="preserve"> </w:t>
      </w:r>
      <w:r w:rsidRPr="00BE40D0">
        <w:rPr>
          <w:rFonts w:eastAsia="Times New Roman"/>
          <w:lang w:val="de-DE"/>
        </w:rPr>
        <w:t xml:space="preserve">Und auch für uns als Veranstalter dieser Messe </w:t>
      </w:r>
      <w:r w:rsidR="00185059">
        <w:rPr>
          <w:rFonts w:eastAsia="Times New Roman"/>
          <w:lang w:val="de-DE"/>
        </w:rPr>
        <w:t>sind</w:t>
      </w:r>
      <w:r w:rsidRPr="00BE40D0">
        <w:rPr>
          <w:rFonts w:eastAsia="Times New Roman"/>
          <w:lang w:val="de-DE"/>
        </w:rPr>
        <w:t xml:space="preserve"> Ge</w:t>
      </w:r>
      <w:r w:rsidR="00185059">
        <w:rPr>
          <w:rFonts w:eastAsia="Times New Roman"/>
          <w:lang w:val="de-DE"/>
        </w:rPr>
        <w:t>sellig</w:t>
      </w:r>
      <w:r w:rsidRPr="00BE40D0">
        <w:rPr>
          <w:rFonts w:eastAsia="Times New Roman"/>
          <w:lang w:val="de-DE"/>
        </w:rPr>
        <w:t xml:space="preserve">keit und ein </w:t>
      </w:r>
      <w:r w:rsidRPr="00185059">
        <w:rPr>
          <w:rFonts w:eastAsia="Times New Roman"/>
          <w:lang w:val="de-DE"/>
        </w:rPr>
        <w:t>herzlicher</w:t>
      </w:r>
      <w:r w:rsidRPr="00BE40D0">
        <w:rPr>
          <w:rFonts w:eastAsia="Times New Roman"/>
          <w:lang w:val="de-DE"/>
        </w:rPr>
        <w:t xml:space="preserve"> Empfang </w:t>
      </w:r>
      <w:r w:rsidR="00185059">
        <w:rPr>
          <w:rFonts w:eastAsia="Times New Roman"/>
          <w:lang w:val="de-DE"/>
        </w:rPr>
        <w:t>oberstes Gebot</w:t>
      </w:r>
      <w:r w:rsidRPr="00BE40D0">
        <w:rPr>
          <w:rFonts w:eastAsia="Times New Roman"/>
          <w:lang w:val="de-DE"/>
        </w:rPr>
        <w:t>.</w:t>
      </w:r>
    </w:p>
    <w:p w14:paraId="1E6FFB7B" w14:textId="77777777" w:rsidR="004968FD" w:rsidRDefault="004968FD" w:rsidP="00EA4E8F">
      <w:pPr>
        <w:spacing w:after="0" w:line="240" w:lineRule="auto"/>
        <w:rPr>
          <w:rFonts w:eastAsia="Times New Roman"/>
          <w:lang w:val="nl-BE"/>
        </w:rPr>
      </w:pPr>
    </w:p>
    <w:p w14:paraId="724DE667" w14:textId="3B537D51" w:rsidR="004968FD" w:rsidRPr="00F03037" w:rsidRDefault="00BE40D0" w:rsidP="004968FD">
      <w:pPr>
        <w:spacing w:after="0" w:line="240" w:lineRule="auto"/>
        <w:rPr>
          <w:rFonts w:eastAsia="Times New Roman"/>
          <w:lang w:val="nl-BE"/>
        </w:rPr>
      </w:pPr>
      <w:proofErr w:type="spellStart"/>
      <w:r w:rsidRPr="00BE40D0">
        <w:rPr>
          <w:rFonts w:eastAsia="Times New Roman"/>
          <w:b/>
          <w:bCs/>
          <w:lang w:val="de-DE"/>
        </w:rPr>
        <w:t>Growing</w:t>
      </w:r>
      <w:proofErr w:type="spellEnd"/>
      <w:r w:rsidRPr="00BE40D0">
        <w:rPr>
          <w:rFonts w:eastAsia="Times New Roman"/>
          <w:lang w:val="de-DE"/>
        </w:rPr>
        <w:t xml:space="preserve"> Homes:</w:t>
      </w:r>
      <w:r w:rsidR="004968FD" w:rsidRPr="00F03037">
        <w:rPr>
          <w:rFonts w:eastAsia="Times New Roman"/>
          <w:lang w:val="nl-BE"/>
        </w:rPr>
        <w:t xml:space="preserve"> </w:t>
      </w:r>
      <w:r w:rsidRPr="00BE40D0">
        <w:rPr>
          <w:rFonts w:eastAsia="Times New Roman"/>
          <w:lang w:val="de-DE"/>
        </w:rPr>
        <w:t xml:space="preserve">In den letzten Jahren haben wir </w:t>
      </w:r>
      <w:r w:rsidR="00185059">
        <w:rPr>
          <w:rFonts w:eastAsia="Times New Roman"/>
          <w:lang w:val="de-DE"/>
        </w:rPr>
        <w:t>intensiv</w:t>
      </w:r>
      <w:r w:rsidRPr="00BE40D0">
        <w:rPr>
          <w:rFonts w:eastAsia="Times New Roman"/>
          <w:lang w:val="de-DE"/>
        </w:rPr>
        <w:t xml:space="preserve"> daran gearbeitet, ein solides Fundament zu schaffe</w:t>
      </w:r>
      <w:r w:rsidR="00185059">
        <w:rPr>
          <w:rFonts w:eastAsia="Times New Roman"/>
          <w:lang w:val="de-DE"/>
        </w:rPr>
        <w:t>n.</w:t>
      </w:r>
      <w:r w:rsidR="004968FD" w:rsidRPr="00F03037">
        <w:rPr>
          <w:rFonts w:eastAsia="Times New Roman"/>
          <w:lang w:val="nl-BE"/>
        </w:rPr>
        <w:t xml:space="preserve"> </w:t>
      </w:r>
      <w:r w:rsidRPr="00BE40D0">
        <w:rPr>
          <w:rFonts w:eastAsia="Times New Roman"/>
          <w:lang w:val="de-DE"/>
        </w:rPr>
        <w:t xml:space="preserve">Ein Fundament, das unerlässlich ist, um unseren Ausstellern und </w:t>
      </w:r>
      <w:r w:rsidR="00185059">
        <w:rPr>
          <w:rFonts w:eastAsia="Times New Roman"/>
          <w:lang w:val="de-DE"/>
        </w:rPr>
        <w:t xml:space="preserve">Besuchern </w:t>
      </w:r>
      <w:r w:rsidRPr="00BE40D0">
        <w:rPr>
          <w:rFonts w:eastAsia="Times New Roman"/>
          <w:lang w:val="de-DE"/>
        </w:rPr>
        <w:t xml:space="preserve">die </w:t>
      </w:r>
      <w:r w:rsidR="00185059">
        <w:rPr>
          <w:rFonts w:eastAsia="Times New Roman"/>
          <w:lang w:val="de-DE"/>
        </w:rPr>
        <w:t>erstrebte</w:t>
      </w:r>
      <w:r w:rsidRPr="00BE40D0">
        <w:rPr>
          <w:rFonts w:eastAsia="Times New Roman"/>
          <w:lang w:val="de-DE"/>
        </w:rPr>
        <w:t xml:space="preserve"> Sicherheit und Kontinuität bieten zu können.</w:t>
      </w:r>
      <w:r w:rsidR="004968FD" w:rsidRPr="00F03037">
        <w:rPr>
          <w:rFonts w:eastAsia="Times New Roman"/>
          <w:lang w:val="nl-BE"/>
        </w:rPr>
        <w:t xml:space="preserve"> </w:t>
      </w:r>
      <w:r w:rsidRPr="00BE40D0">
        <w:rPr>
          <w:rFonts w:eastAsia="Times New Roman"/>
          <w:lang w:val="de-DE"/>
        </w:rPr>
        <w:t xml:space="preserve">Aber wie wir im letzten Jahr mit unserer Kampagne The Future is </w:t>
      </w:r>
      <w:proofErr w:type="spellStart"/>
      <w:r w:rsidRPr="00BE40D0">
        <w:rPr>
          <w:rFonts w:eastAsia="Times New Roman"/>
          <w:lang w:val="de-DE"/>
        </w:rPr>
        <w:t>FurNature</w:t>
      </w:r>
      <w:proofErr w:type="spellEnd"/>
      <w:r w:rsidRPr="00BE40D0">
        <w:rPr>
          <w:rFonts w:eastAsia="Times New Roman"/>
          <w:lang w:val="de-DE"/>
        </w:rPr>
        <w:t xml:space="preserve"> stark </w:t>
      </w:r>
      <w:r w:rsidR="00185059">
        <w:rPr>
          <w:rFonts w:eastAsia="Times New Roman"/>
          <w:lang w:val="de-DE"/>
        </w:rPr>
        <w:t>hervorgehoben</w:t>
      </w:r>
      <w:r w:rsidRPr="00BE40D0">
        <w:rPr>
          <w:rFonts w:eastAsia="Times New Roman"/>
          <w:lang w:val="de-DE"/>
        </w:rPr>
        <w:t xml:space="preserve"> haben, richten wir unseren Blick auch </w:t>
      </w:r>
      <w:r w:rsidR="00185059">
        <w:rPr>
          <w:rFonts w:eastAsia="Times New Roman"/>
          <w:lang w:val="de-DE"/>
        </w:rPr>
        <w:t>immer</w:t>
      </w:r>
      <w:r w:rsidRPr="00BE40D0">
        <w:rPr>
          <w:rFonts w:eastAsia="Times New Roman"/>
          <w:lang w:val="de-DE"/>
        </w:rPr>
        <w:t xml:space="preserve"> nach vorne auf die weitere Entwicklung.</w:t>
      </w:r>
      <w:r w:rsidR="004968FD" w:rsidRPr="00F03037">
        <w:rPr>
          <w:rFonts w:eastAsia="Times New Roman"/>
          <w:lang w:val="nl-BE"/>
        </w:rPr>
        <w:t xml:space="preserve"> </w:t>
      </w:r>
      <w:r w:rsidRPr="00BE40D0">
        <w:rPr>
          <w:rFonts w:eastAsia="Times New Roman"/>
          <w:lang w:val="de-DE"/>
        </w:rPr>
        <w:t>Das Wort Wachstum in unserem Slogan bezieht sich dabei nicht unbedingt auf die Fläche oder die Anzahl der Aussteller.</w:t>
      </w:r>
      <w:r w:rsidR="004968FD" w:rsidRPr="00F03037">
        <w:rPr>
          <w:rFonts w:eastAsia="Times New Roman"/>
          <w:lang w:val="nl-BE"/>
        </w:rPr>
        <w:t xml:space="preserve"> </w:t>
      </w:r>
      <w:r w:rsidRPr="00BE40D0">
        <w:rPr>
          <w:rFonts w:eastAsia="Times New Roman"/>
          <w:lang w:val="de-DE"/>
        </w:rPr>
        <w:t xml:space="preserve">Sondern auf eine gesunde Entwicklung </w:t>
      </w:r>
      <w:r w:rsidR="00185059">
        <w:rPr>
          <w:rFonts w:eastAsia="Times New Roman"/>
          <w:lang w:val="de-DE"/>
        </w:rPr>
        <w:t>im Sinne</w:t>
      </w:r>
      <w:r w:rsidRPr="00BE40D0">
        <w:rPr>
          <w:rFonts w:eastAsia="Times New Roman"/>
          <w:lang w:val="de-DE"/>
        </w:rPr>
        <w:t xml:space="preserve"> einer qualitativ </w:t>
      </w:r>
      <w:r w:rsidR="00185059" w:rsidRPr="00BE40D0">
        <w:rPr>
          <w:rFonts w:eastAsia="Times New Roman"/>
          <w:lang w:val="de-DE"/>
        </w:rPr>
        <w:t xml:space="preserve">noch </w:t>
      </w:r>
      <w:r w:rsidRPr="00BE40D0">
        <w:rPr>
          <w:rFonts w:eastAsia="Times New Roman"/>
          <w:lang w:val="de-DE"/>
        </w:rPr>
        <w:t>hochwertigeren, moderneren und effizienteren Messe.</w:t>
      </w:r>
    </w:p>
    <w:p w14:paraId="4646B5CA" w14:textId="77777777" w:rsidR="00BF12BC" w:rsidRDefault="00BF12BC" w:rsidP="004968FD">
      <w:pPr>
        <w:spacing w:after="0" w:line="240" w:lineRule="auto"/>
        <w:rPr>
          <w:rFonts w:eastAsia="Times New Roman"/>
          <w:lang w:val="nl-BE"/>
        </w:rPr>
      </w:pPr>
    </w:p>
    <w:p w14:paraId="5D2692D3" w14:textId="20B2115B" w:rsidR="004968FD" w:rsidRPr="00F03037" w:rsidRDefault="00BE40D0" w:rsidP="004968FD">
      <w:pPr>
        <w:spacing w:after="0" w:line="240" w:lineRule="auto"/>
        <w:rPr>
          <w:rFonts w:eastAsia="Times New Roman"/>
          <w:b/>
          <w:bCs/>
          <w:lang w:val="nl-BE"/>
        </w:rPr>
      </w:pPr>
      <w:r w:rsidRPr="00BE40D0">
        <w:rPr>
          <w:rFonts w:eastAsia="Times New Roman"/>
          <w:b/>
          <w:bCs/>
          <w:lang w:val="de-DE"/>
        </w:rPr>
        <w:t xml:space="preserve">So </w:t>
      </w:r>
      <w:proofErr w:type="spellStart"/>
      <w:r w:rsidRPr="00BE40D0">
        <w:rPr>
          <w:rFonts w:eastAsia="Times New Roman"/>
          <w:b/>
          <w:bCs/>
          <w:lang w:val="de-DE"/>
        </w:rPr>
        <w:t>what’s</w:t>
      </w:r>
      <w:proofErr w:type="spellEnd"/>
      <w:r w:rsidRPr="00BE40D0">
        <w:rPr>
          <w:rFonts w:eastAsia="Times New Roman"/>
          <w:b/>
          <w:bCs/>
          <w:lang w:val="de-DE"/>
        </w:rPr>
        <w:t xml:space="preserve"> </w:t>
      </w:r>
      <w:proofErr w:type="spellStart"/>
      <w:r w:rsidRPr="00BE40D0">
        <w:rPr>
          <w:rFonts w:eastAsia="Times New Roman"/>
          <w:b/>
          <w:bCs/>
          <w:lang w:val="de-DE"/>
        </w:rPr>
        <w:t>new</w:t>
      </w:r>
      <w:proofErr w:type="spellEnd"/>
      <w:r w:rsidRPr="00BE40D0">
        <w:rPr>
          <w:rFonts w:eastAsia="Times New Roman"/>
          <w:b/>
          <w:bCs/>
          <w:lang w:val="de-DE"/>
        </w:rPr>
        <w:t>?</w:t>
      </w:r>
    </w:p>
    <w:p w14:paraId="2A2DA68A" w14:textId="77777777" w:rsidR="00C72813" w:rsidRPr="00423C60" w:rsidRDefault="00C72813" w:rsidP="004968FD">
      <w:pPr>
        <w:spacing w:after="0" w:line="240" w:lineRule="auto"/>
        <w:rPr>
          <w:rFonts w:eastAsia="Times New Roman"/>
          <w:b/>
          <w:bCs/>
          <w:lang w:val="nl-BE"/>
        </w:rPr>
      </w:pPr>
    </w:p>
    <w:p w14:paraId="55680538" w14:textId="298EECD1" w:rsidR="00BF12BC" w:rsidRPr="00F03037" w:rsidRDefault="00BE40D0" w:rsidP="004968FD">
      <w:pPr>
        <w:spacing w:after="0" w:line="240" w:lineRule="auto"/>
        <w:rPr>
          <w:rFonts w:eastAsia="Times New Roman"/>
          <w:lang w:val="nl-BE"/>
        </w:rPr>
      </w:pPr>
      <w:r w:rsidRPr="00BE40D0">
        <w:rPr>
          <w:rFonts w:eastAsia="Times New Roman"/>
          <w:lang w:val="de-DE"/>
        </w:rPr>
        <w:t>Um unser Ziel zu erreichen, werden wir weiterhin auf dem aufbauen, was Brüssel heute so einzigartig macht (man denke an Gastfreundschaft, Hallendekoration, Animation), und natürlich Neues hinzufügen.</w:t>
      </w:r>
      <w:r w:rsidR="00E845EC" w:rsidRPr="00F03037">
        <w:rPr>
          <w:rFonts w:eastAsia="Times New Roman"/>
          <w:lang w:val="nl-BE"/>
        </w:rPr>
        <w:t xml:space="preserve"> </w:t>
      </w:r>
      <w:r w:rsidRPr="00BE40D0">
        <w:rPr>
          <w:rFonts w:eastAsia="Times New Roman"/>
          <w:lang w:val="de-DE"/>
        </w:rPr>
        <w:t xml:space="preserve">Wie können wir unsere Besucher bei der Stange halten und zusätzliches Interesse wecken, war dabei </w:t>
      </w:r>
      <w:r w:rsidR="00BD4197">
        <w:rPr>
          <w:rFonts w:eastAsia="Times New Roman"/>
          <w:lang w:val="de-DE"/>
        </w:rPr>
        <w:t>die Kernfrage</w:t>
      </w:r>
      <w:r w:rsidRPr="00BE40D0">
        <w:rPr>
          <w:rFonts w:eastAsia="Times New Roman"/>
          <w:lang w:val="de-DE"/>
        </w:rPr>
        <w:t>.</w:t>
      </w:r>
    </w:p>
    <w:p w14:paraId="55441372" w14:textId="77777777" w:rsidR="00E845EC" w:rsidRDefault="00E845EC" w:rsidP="004968FD">
      <w:pPr>
        <w:spacing w:after="0" w:line="240" w:lineRule="auto"/>
        <w:rPr>
          <w:rFonts w:eastAsia="Times New Roman"/>
          <w:lang w:val="nl-BE"/>
        </w:rPr>
      </w:pPr>
    </w:p>
    <w:p w14:paraId="48408968" w14:textId="40814D98" w:rsidR="00E845EC" w:rsidRPr="008A008A" w:rsidRDefault="00BE40D0" w:rsidP="004968FD">
      <w:pPr>
        <w:spacing w:after="0" w:line="240" w:lineRule="auto"/>
        <w:rPr>
          <w:rFonts w:eastAsia="Times New Roman"/>
          <w:b/>
          <w:bCs/>
          <w:lang w:val="en-GB"/>
        </w:rPr>
      </w:pPr>
      <w:proofErr w:type="spellStart"/>
      <w:r w:rsidRPr="00BE40D0">
        <w:rPr>
          <w:rFonts w:eastAsia="Times New Roman"/>
          <w:b/>
          <w:bCs/>
          <w:lang w:val="de-DE"/>
        </w:rPr>
        <w:t>Belgian</w:t>
      </w:r>
      <w:proofErr w:type="spellEnd"/>
      <w:r w:rsidRPr="00BE40D0">
        <w:rPr>
          <w:rFonts w:eastAsia="Times New Roman"/>
          <w:b/>
          <w:bCs/>
          <w:lang w:val="de-DE"/>
        </w:rPr>
        <w:t xml:space="preserve"> Design Island</w:t>
      </w:r>
    </w:p>
    <w:p w14:paraId="20CFB3CF" w14:textId="77777777" w:rsidR="00E845EC" w:rsidRPr="008A008A" w:rsidRDefault="00E845EC" w:rsidP="004968FD">
      <w:pPr>
        <w:spacing w:after="0" w:line="240" w:lineRule="auto"/>
        <w:rPr>
          <w:rFonts w:eastAsia="Times New Roman"/>
          <w:lang w:val="en-GB"/>
        </w:rPr>
      </w:pPr>
    </w:p>
    <w:p w14:paraId="3E296967" w14:textId="4A7F1C5F" w:rsidR="009B3845" w:rsidRPr="00F03037" w:rsidRDefault="00BE40D0" w:rsidP="004968FD">
      <w:pPr>
        <w:spacing w:after="0" w:line="240" w:lineRule="auto"/>
        <w:rPr>
          <w:rFonts w:eastAsia="Times New Roman"/>
          <w:color w:val="000000"/>
          <w:lang w:val="nl-BE"/>
        </w:rPr>
      </w:pPr>
      <w:r w:rsidRPr="00CC3C4B">
        <w:rPr>
          <w:rFonts w:eastAsia="Times New Roman"/>
          <w:lang w:val="de-DE"/>
        </w:rPr>
        <w:t xml:space="preserve">Beginnen wir mit dem </w:t>
      </w:r>
      <w:proofErr w:type="spellStart"/>
      <w:r w:rsidRPr="00CC3C4B">
        <w:rPr>
          <w:rFonts w:eastAsia="Times New Roman"/>
          <w:lang w:val="de-DE"/>
        </w:rPr>
        <w:t>Belgian</w:t>
      </w:r>
      <w:proofErr w:type="spellEnd"/>
      <w:r w:rsidRPr="00CC3C4B">
        <w:rPr>
          <w:rFonts w:eastAsia="Times New Roman"/>
          <w:lang w:val="de-DE"/>
        </w:rPr>
        <w:t xml:space="preserve"> Design Island.</w:t>
      </w:r>
      <w:r w:rsidR="00E845EC" w:rsidRPr="008A008A">
        <w:rPr>
          <w:rFonts w:eastAsia="Times New Roman"/>
          <w:lang w:val="en-GB"/>
        </w:rPr>
        <w:t xml:space="preserve"> </w:t>
      </w:r>
      <w:r w:rsidRPr="00CC3C4B">
        <w:rPr>
          <w:rFonts w:eastAsia="Times New Roman"/>
          <w:lang w:val="de-DE"/>
        </w:rPr>
        <w:t xml:space="preserve">Dies führt uns </w:t>
      </w:r>
      <w:r w:rsidR="00BD4197" w:rsidRPr="00CC3C4B">
        <w:rPr>
          <w:rFonts w:eastAsia="Times New Roman"/>
          <w:lang w:val="de-DE"/>
        </w:rPr>
        <w:t>zurü</w:t>
      </w:r>
      <w:r w:rsidR="00BD4197" w:rsidRPr="00AB2443">
        <w:rPr>
          <w:rFonts w:eastAsia="Times New Roman"/>
          <w:lang w:val="de-DE"/>
        </w:rPr>
        <w:t>ck</w:t>
      </w:r>
      <w:r w:rsidR="00BD4197" w:rsidRPr="00CC3C4B">
        <w:rPr>
          <w:rFonts w:eastAsia="Times New Roman"/>
          <w:lang w:val="de-DE"/>
        </w:rPr>
        <w:t xml:space="preserve"> </w:t>
      </w:r>
      <w:r w:rsidRPr="00CC3C4B">
        <w:rPr>
          <w:rFonts w:eastAsia="Times New Roman"/>
          <w:lang w:val="de-DE"/>
        </w:rPr>
        <w:t xml:space="preserve">zum </w:t>
      </w:r>
      <w:r w:rsidRPr="00BD4197">
        <w:rPr>
          <w:rFonts w:eastAsia="Times New Roman"/>
          <w:lang w:val="de-DE"/>
        </w:rPr>
        <w:t>Ursprung</w:t>
      </w:r>
      <w:r w:rsidRPr="00CC3C4B">
        <w:rPr>
          <w:rFonts w:eastAsia="Times New Roman"/>
          <w:lang w:val="de-DE"/>
        </w:rPr>
        <w:t xml:space="preserve"> der </w:t>
      </w:r>
      <w:r w:rsidR="00BD4197" w:rsidRPr="00CC3C4B">
        <w:rPr>
          <w:rFonts w:eastAsia="Times New Roman"/>
          <w:lang w:val="de-DE"/>
        </w:rPr>
        <w:t xml:space="preserve">im </w:t>
      </w:r>
      <w:r w:rsidR="00F169D5" w:rsidRPr="00CC3C4B">
        <w:rPr>
          <w:rFonts w:eastAsia="Times New Roman"/>
          <w:lang w:val="de-DE"/>
        </w:rPr>
        <w:t>19</w:t>
      </w:r>
      <w:r w:rsidR="008A008A">
        <w:rPr>
          <w:rFonts w:eastAsia="Times New Roman"/>
          <w:lang w:val="de-DE"/>
        </w:rPr>
        <w:t>37</w:t>
      </w:r>
      <w:r w:rsidR="00F169D5">
        <w:rPr>
          <w:rFonts w:eastAsia="Times New Roman"/>
          <w:lang w:val="de-DE"/>
        </w:rPr>
        <w:t xml:space="preserve"> </w:t>
      </w:r>
      <w:r w:rsidR="00F169D5" w:rsidRPr="00CC3C4B">
        <w:rPr>
          <w:rFonts w:eastAsia="Times New Roman"/>
          <w:lang w:val="de-DE"/>
        </w:rPr>
        <w:t>gegründeten</w:t>
      </w:r>
      <w:r w:rsidR="00BD4197">
        <w:rPr>
          <w:rFonts w:eastAsia="Times New Roman"/>
          <w:lang w:val="de-DE"/>
        </w:rPr>
        <w:t xml:space="preserve">, </w:t>
      </w:r>
      <w:r w:rsidRPr="00CC3C4B">
        <w:rPr>
          <w:rFonts w:eastAsia="Times New Roman"/>
          <w:lang w:val="de-DE"/>
        </w:rPr>
        <w:t>damals noch nationalen</w:t>
      </w:r>
      <w:r w:rsidR="00BD4197">
        <w:rPr>
          <w:rFonts w:eastAsia="Times New Roman"/>
          <w:lang w:val="de-DE"/>
        </w:rPr>
        <w:t xml:space="preserve">, </w:t>
      </w:r>
      <w:r w:rsidRPr="00CC3C4B">
        <w:rPr>
          <w:rFonts w:eastAsia="Times New Roman"/>
          <w:lang w:val="de-DE"/>
        </w:rPr>
        <w:t>Möbelmesse Brüssel</w:t>
      </w:r>
      <w:r w:rsidRPr="00AB2443">
        <w:rPr>
          <w:rFonts w:eastAsia="Times New Roman"/>
          <w:lang w:val="de-DE"/>
        </w:rPr>
        <w:t>.</w:t>
      </w:r>
      <w:r w:rsidR="00F169D5">
        <w:rPr>
          <w:rFonts w:eastAsia="Times New Roman"/>
          <w:lang w:val="de-DE"/>
        </w:rPr>
        <w:t xml:space="preserve"> </w:t>
      </w:r>
      <w:r w:rsidR="00CC3C4B" w:rsidRPr="00AB2443">
        <w:rPr>
          <w:rFonts w:eastAsia="Times New Roman"/>
          <w:lang w:val="de-DE"/>
        </w:rPr>
        <w:t xml:space="preserve">Sie </w:t>
      </w:r>
      <w:r w:rsidR="00AB2443" w:rsidRPr="00AB2443">
        <w:rPr>
          <w:rFonts w:eastAsia="Times New Roman"/>
          <w:lang w:val="de-DE"/>
        </w:rPr>
        <w:t>war gedacht</w:t>
      </w:r>
      <w:r w:rsidR="00CC3C4B" w:rsidRPr="00AB2443">
        <w:rPr>
          <w:rFonts w:eastAsia="Times New Roman"/>
          <w:lang w:val="de-DE"/>
        </w:rPr>
        <w:t xml:space="preserve">, </w:t>
      </w:r>
      <w:r w:rsidR="00AB2443" w:rsidRPr="00AB2443">
        <w:rPr>
          <w:rFonts w:eastAsia="Times New Roman"/>
          <w:lang w:val="de-DE"/>
        </w:rPr>
        <w:t xml:space="preserve">um </w:t>
      </w:r>
      <w:r w:rsidR="00CC3C4B" w:rsidRPr="00AB2443">
        <w:rPr>
          <w:rFonts w:eastAsia="Times New Roman"/>
          <w:lang w:val="de-DE"/>
        </w:rPr>
        <w:t>den belgischen Möbelsektor zu unterstützen</w:t>
      </w:r>
      <w:r w:rsidR="00AB2443" w:rsidRPr="00AB2443">
        <w:rPr>
          <w:rFonts w:eastAsia="Times New Roman"/>
          <w:lang w:val="de-DE"/>
        </w:rPr>
        <w:t>.</w:t>
      </w:r>
    </w:p>
    <w:p w14:paraId="5DD679E3" w14:textId="77777777" w:rsidR="00CC3C4B" w:rsidRDefault="00CC3C4B" w:rsidP="004968FD">
      <w:pPr>
        <w:spacing w:after="0" w:line="240" w:lineRule="auto"/>
        <w:rPr>
          <w:rFonts w:eastAsia="Times New Roman"/>
          <w:lang w:val="nl-BE"/>
        </w:rPr>
      </w:pPr>
    </w:p>
    <w:p w14:paraId="3EBF5CA1" w14:textId="0A656682" w:rsidR="009B3845" w:rsidRPr="00F03037" w:rsidRDefault="00AB2443" w:rsidP="00AB2443">
      <w:pPr>
        <w:spacing w:after="0" w:line="240" w:lineRule="auto"/>
        <w:rPr>
          <w:rFonts w:eastAsia="Times New Roman"/>
          <w:lang w:val="nl-BE"/>
        </w:rPr>
      </w:pPr>
      <w:r w:rsidRPr="00AB2443">
        <w:rPr>
          <w:rFonts w:eastAsia="Times New Roman"/>
          <w:lang w:val="de-DE"/>
        </w:rPr>
        <w:t>Mit de</w:t>
      </w:r>
      <w:r w:rsidR="00BD4197">
        <w:rPr>
          <w:rFonts w:eastAsia="Times New Roman"/>
          <w:lang w:val="de-DE"/>
        </w:rPr>
        <w:t>m</w:t>
      </w:r>
      <w:r w:rsidRPr="00AB2443">
        <w:rPr>
          <w:rFonts w:eastAsia="Times New Roman"/>
          <w:lang w:val="de-DE"/>
        </w:rPr>
        <w:t xml:space="preserve"> </w:t>
      </w:r>
      <w:proofErr w:type="spellStart"/>
      <w:r w:rsidRPr="00AB2443">
        <w:rPr>
          <w:rFonts w:eastAsia="Times New Roman"/>
          <w:lang w:val="de-DE"/>
        </w:rPr>
        <w:t>Belgian</w:t>
      </w:r>
      <w:proofErr w:type="spellEnd"/>
      <w:r w:rsidRPr="00AB2443">
        <w:rPr>
          <w:rFonts w:eastAsia="Times New Roman"/>
          <w:lang w:val="de-DE"/>
        </w:rPr>
        <w:t xml:space="preserve"> Design Island richten wir die Scheinwerfer auf unsere belgischen Designer und das belgische Design, die ihr weltweites Renommee großem Können verdanken.</w:t>
      </w:r>
      <w:r w:rsidR="009B3845" w:rsidRPr="00F03037">
        <w:rPr>
          <w:rFonts w:eastAsia="Times New Roman"/>
          <w:lang w:val="nl-BE"/>
        </w:rPr>
        <w:t xml:space="preserve"> </w:t>
      </w:r>
      <w:r w:rsidRPr="00AB2443">
        <w:rPr>
          <w:rFonts w:eastAsia="Times New Roman"/>
          <w:lang w:val="de-DE"/>
        </w:rPr>
        <w:t xml:space="preserve">Hier finden die </w:t>
      </w:r>
      <w:r w:rsidRPr="00AB2443">
        <w:rPr>
          <w:rFonts w:eastAsia="Times New Roman"/>
          <w:lang w:val="de-DE"/>
        </w:rPr>
        <w:lastRenderedPageBreak/>
        <w:t>Besucher einen eigenen Hub für Design- und Deko-Objekte, von Möbeln bis zu Beleuchtung, von Textilien bis zu Teppichen.</w:t>
      </w:r>
    </w:p>
    <w:p w14:paraId="7F9ED941" w14:textId="77777777" w:rsidR="00D4158A" w:rsidRDefault="00D4158A" w:rsidP="009B3845">
      <w:pPr>
        <w:spacing w:after="0" w:line="240" w:lineRule="auto"/>
        <w:rPr>
          <w:rFonts w:eastAsia="Times New Roman"/>
          <w:lang w:val="nl-BE"/>
        </w:rPr>
      </w:pPr>
    </w:p>
    <w:p w14:paraId="5BB7F420" w14:textId="5DB0A0C1" w:rsidR="009B3845" w:rsidRPr="00F03037" w:rsidRDefault="00AB2443" w:rsidP="00BE40D0">
      <w:pPr>
        <w:spacing w:after="0" w:line="240" w:lineRule="auto"/>
        <w:rPr>
          <w:rFonts w:eastAsia="Times New Roman"/>
          <w:lang w:val="nl-BE"/>
        </w:rPr>
      </w:pPr>
      <w:r w:rsidRPr="00AB2443">
        <w:rPr>
          <w:rFonts w:eastAsia="Times New Roman"/>
          <w:lang w:val="de-DE"/>
        </w:rPr>
        <w:t>Ein solches Konzept verdient ein angemessenes Umfeld, und auch hier haben wir viel Energie darauf verwendet, ein Gesamterlebnis zu schaffen, wo auch Aspekte des Konzepts „Das Geschäft von morgen“ zum Tragen kommen.</w:t>
      </w:r>
      <w:r w:rsidR="00D4158A" w:rsidRPr="00F03037">
        <w:rPr>
          <w:rFonts w:eastAsia="Times New Roman"/>
          <w:lang w:val="nl-BE"/>
        </w:rPr>
        <w:t xml:space="preserve"> </w:t>
      </w:r>
      <w:r w:rsidRPr="00AB2443">
        <w:rPr>
          <w:rFonts w:eastAsia="Times New Roman"/>
          <w:lang w:val="de-DE"/>
        </w:rPr>
        <w:t>Wenn Sie die Brüsseler Möbelmesse 2024 wirklich erlebt haben wollen, dann müssen Sie hier gewesen sein.</w:t>
      </w:r>
    </w:p>
    <w:p w14:paraId="0400E929" w14:textId="77777777" w:rsidR="009B3845" w:rsidRDefault="009B3845" w:rsidP="004968FD">
      <w:pPr>
        <w:spacing w:after="0" w:line="240" w:lineRule="auto"/>
        <w:rPr>
          <w:rFonts w:eastAsia="Times New Roman"/>
          <w:lang w:val="nl-BE"/>
        </w:rPr>
      </w:pPr>
    </w:p>
    <w:p w14:paraId="74E9070C" w14:textId="054F31F3" w:rsidR="00BF12BC" w:rsidRPr="00F03037" w:rsidRDefault="00AB2443" w:rsidP="004968FD">
      <w:pPr>
        <w:spacing w:after="0" w:line="240" w:lineRule="auto"/>
        <w:rPr>
          <w:rFonts w:eastAsia="Times New Roman"/>
          <w:lang w:val="nl-BE"/>
        </w:rPr>
      </w:pPr>
      <w:r w:rsidRPr="00AB2443">
        <w:rPr>
          <w:rFonts w:eastAsia="Times New Roman"/>
          <w:lang w:val="de-DE"/>
        </w:rPr>
        <w:t xml:space="preserve">Gleichzeitig passt das </w:t>
      </w:r>
      <w:proofErr w:type="spellStart"/>
      <w:r w:rsidRPr="00AB2443">
        <w:rPr>
          <w:rFonts w:eastAsia="Times New Roman"/>
          <w:lang w:val="de-DE"/>
        </w:rPr>
        <w:t>Belgian</w:t>
      </w:r>
      <w:proofErr w:type="spellEnd"/>
      <w:r w:rsidRPr="00AB2443">
        <w:rPr>
          <w:rFonts w:eastAsia="Times New Roman"/>
          <w:lang w:val="de-DE"/>
        </w:rPr>
        <w:t xml:space="preserve"> Design Island auch zu unserer Philosophie, ein breiteres Publikum auf dem Privat- und Objektmarkt ansprechen und unterstützen zu wollen.</w:t>
      </w:r>
    </w:p>
    <w:p w14:paraId="2FDDA1C8" w14:textId="77777777" w:rsidR="00BF12BC" w:rsidRDefault="00BF12BC" w:rsidP="004968FD">
      <w:pPr>
        <w:spacing w:after="0" w:line="240" w:lineRule="auto"/>
        <w:rPr>
          <w:rFonts w:eastAsia="Times New Roman"/>
          <w:lang w:val="nl-BE"/>
        </w:rPr>
      </w:pPr>
    </w:p>
    <w:p w14:paraId="724F1DF3" w14:textId="793C2DAD" w:rsidR="00BF12BC" w:rsidRPr="00F03037" w:rsidRDefault="00AB2443" w:rsidP="004968FD">
      <w:pPr>
        <w:spacing w:after="0" w:line="240" w:lineRule="auto"/>
        <w:rPr>
          <w:rFonts w:eastAsia="Times New Roman"/>
          <w:b/>
          <w:bCs/>
          <w:lang w:val="nl-BE"/>
        </w:rPr>
      </w:pPr>
      <w:proofErr w:type="spellStart"/>
      <w:r w:rsidRPr="00AB2443">
        <w:rPr>
          <w:rFonts w:eastAsia="Times New Roman"/>
          <w:b/>
          <w:bCs/>
          <w:lang w:val="de-DE"/>
        </w:rPr>
        <w:t>Belgian</w:t>
      </w:r>
      <w:proofErr w:type="spellEnd"/>
      <w:r w:rsidRPr="00AB2443">
        <w:rPr>
          <w:rFonts w:eastAsia="Times New Roman"/>
          <w:b/>
          <w:bCs/>
          <w:lang w:val="de-DE"/>
        </w:rPr>
        <w:t xml:space="preserve"> Outdoor</w:t>
      </w:r>
    </w:p>
    <w:p w14:paraId="1BC039BE" w14:textId="77777777" w:rsidR="00BF12BC" w:rsidRDefault="00BF12BC" w:rsidP="004968FD">
      <w:pPr>
        <w:spacing w:after="0" w:line="240" w:lineRule="auto"/>
        <w:rPr>
          <w:rFonts w:eastAsia="Times New Roman"/>
          <w:lang w:val="nl-BE"/>
        </w:rPr>
      </w:pPr>
    </w:p>
    <w:p w14:paraId="51DC761E" w14:textId="78A63B3D" w:rsidR="009403F1" w:rsidRPr="00F03037" w:rsidRDefault="00AB2443" w:rsidP="002711EF">
      <w:pPr>
        <w:spacing w:after="0" w:line="240" w:lineRule="auto"/>
        <w:rPr>
          <w:rFonts w:eastAsia="Times New Roman"/>
          <w:lang w:val="nl-BE"/>
        </w:rPr>
      </w:pPr>
      <w:r w:rsidRPr="00AB2443">
        <w:rPr>
          <w:rFonts w:eastAsia="Times New Roman"/>
          <w:lang w:val="de-DE"/>
        </w:rPr>
        <w:t>Ebenfalls neu in diesem Jahr ist die belgische Outdoor-Plattform.</w:t>
      </w:r>
      <w:r w:rsidR="009403F1" w:rsidRPr="00F03037">
        <w:rPr>
          <w:rFonts w:eastAsia="Times New Roman"/>
          <w:lang w:val="nl-BE"/>
        </w:rPr>
        <w:t xml:space="preserve"> </w:t>
      </w:r>
      <w:r w:rsidRPr="00AB2443">
        <w:rPr>
          <w:rFonts w:eastAsia="Times New Roman"/>
          <w:lang w:val="de-DE"/>
        </w:rPr>
        <w:t xml:space="preserve">Es </w:t>
      </w:r>
      <w:r w:rsidR="00BE2BC3">
        <w:rPr>
          <w:rFonts w:eastAsia="Times New Roman"/>
          <w:lang w:val="de-DE"/>
        </w:rPr>
        <w:t>ist wohl</w:t>
      </w:r>
      <w:r w:rsidRPr="00AB2443">
        <w:rPr>
          <w:rFonts w:eastAsia="Times New Roman"/>
          <w:lang w:val="de-DE"/>
        </w:rPr>
        <w:t xml:space="preserve"> kein Geheimnis, dass wir schon langen den Wunsch hegten, Outdoor-Möbel in unser Angebot </w:t>
      </w:r>
      <w:r w:rsidR="00BE2BC3">
        <w:rPr>
          <w:rFonts w:eastAsia="Times New Roman"/>
          <w:lang w:val="de-DE"/>
        </w:rPr>
        <w:t>aufzunehmen</w:t>
      </w:r>
      <w:r w:rsidRPr="00AB2443">
        <w:rPr>
          <w:rFonts w:eastAsia="Times New Roman"/>
          <w:lang w:val="de-DE"/>
        </w:rPr>
        <w:t>.</w:t>
      </w:r>
      <w:r w:rsidR="009403F1" w:rsidRPr="00F03037">
        <w:rPr>
          <w:rFonts w:eastAsia="Times New Roman"/>
          <w:lang w:val="nl-BE"/>
        </w:rPr>
        <w:t xml:space="preserve"> </w:t>
      </w:r>
      <w:r w:rsidRPr="00AB2443">
        <w:rPr>
          <w:rFonts w:eastAsia="Times New Roman"/>
          <w:lang w:val="de-DE"/>
        </w:rPr>
        <w:t xml:space="preserve">Deshalb haben wir </w:t>
      </w:r>
      <w:r w:rsidR="00415DB5">
        <w:rPr>
          <w:rFonts w:eastAsia="Times New Roman"/>
          <w:lang w:val="de-DE"/>
        </w:rPr>
        <w:t xml:space="preserve">uns für </w:t>
      </w:r>
      <w:r w:rsidRPr="00AB2443">
        <w:rPr>
          <w:rFonts w:eastAsia="Times New Roman"/>
          <w:lang w:val="de-DE"/>
        </w:rPr>
        <w:t xml:space="preserve">eine gezielte Investition </w:t>
      </w:r>
      <w:r w:rsidR="00415DB5">
        <w:rPr>
          <w:rFonts w:eastAsia="Times New Roman"/>
          <w:lang w:val="de-DE"/>
        </w:rPr>
        <w:t>entschieden</w:t>
      </w:r>
      <w:r w:rsidRPr="00AB2443">
        <w:rPr>
          <w:rFonts w:eastAsia="Times New Roman"/>
          <w:lang w:val="de-DE"/>
        </w:rPr>
        <w:t xml:space="preserve">, ähnlich wie 2022 in unsere Halle Brussels </w:t>
      </w:r>
      <w:proofErr w:type="spellStart"/>
      <w:r w:rsidRPr="00AB2443">
        <w:rPr>
          <w:rFonts w:eastAsia="Times New Roman"/>
          <w:lang w:val="de-DE"/>
        </w:rPr>
        <w:t>by</w:t>
      </w:r>
      <w:proofErr w:type="spellEnd"/>
      <w:r w:rsidRPr="00AB2443">
        <w:rPr>
          <w:rFonts w:eastAsia="Times New Roman"/>
          <w:lang w:val="de-DE"/>
        </w:rPr>
        <w:t xml:space="preserve"> Night.</w:t>
      </w:r>
      <w:r w:rsidR="002F5E50" w:rsidRPr="00F03037">
        <w:rPr>
          <w:rFonts w:eastAsia="Times New Roman"/>
          <w:lang w:val="nl-BE"/>
        </w:rPr>
        <w:t xml:space="preserve"> </w:t>
      </w:r>
      <w:r w:rsidRPr="00AB2443">
        <w:rPr>
          <w:rFonts w:eastAsia="Times New Roman"/>
          <w:lang w:val="de-DE"/>
        </w:rPr>
        <w:t>Wir führten einen Outdoor-Stand ein, auf dem verschiedene Marken zugkräftig zusammenstehen.</w:t>
      </w:r>
      <w:r w:rsidR="002711EF" w:rsidRPr="00F03037">
        <w:rPr>
          <w:rFonts w:eastAsia="Times New Roman"/>
          <w:lang w:val="nl-BE"/>
        </w:rPr>
        <w:t xml:space="preserve"> </w:t>
      </w:r>
      <w:r w:rsidRPr="00AB2443">
        <w:rPr>
          <w:rFonts w:eastAsia="Times New Roman"/>
          <w:lang w:val="de-DE"/>
        </w:rPr>
        <w:t xml:space="preserve">Kleine, aber </w:t>
      </w:r>
      <w:r w:rsidR="00F169D5" w:rsidRPr="00AB2443">
        <w:rPr>
          <w:rFonts w:eastAsia="Times New Roman"/>
          <w:lang w:val="de-DE"/>
        </w:rPr>
        <w:t>ausgeklügelte Schritte</w:t>
      </w:r>
      <w:r w:rsidRPr="00AB2443">
        <w:rPr>
          <w:rFonts w:eastAsia="Times New Roman"/>
          <w:lang w:val="de-DE"/>
        </w:rPr>
        <w:t xml:space="preserve"> in Richtung Zukunft.</w:t>
      </w:r>
    </w:p>
    <w:p w14:paraId="5F3129F3" w14:textId="77777777" w:rsidR="002711EF" w:rsidRDefault="002711EF" w:rsidP="002711EF">
      <w:pPr>
        <w:spacing w:after="0" w:line="240" w:lineRule="auto"/>
        <w:rPr>
          <w:rFonts w:eastAsia="Times New Roman"/>
          <w:lang w:val="nl-BE"/>
        </w:rPr>
      </w:pPr>
    </w:p>
    <w:p w14:paraId="33AFCB07" w14:textId="2CA8B0FD" w:rsidR="002711EF" w:rsidRPr="00F03037" w:rsidRDefault="00AB2443" w:rsidP="002711EF">
      <w:pPr>
        <w:spacing w:after="0" w:line="240" w:lineRule="auto"/>
        <w:rPr>
          <w:rFonts w:eastAsia="Times New Roman"/>
          <w:b/>
          <w:bCs/>
          <w:lang w:val="nl-BE"/>
        </w:rPr>
      </w:pPr>
      <w:r w:rsidRPr="00AB2443">
        <w:rPr>
          <w:rFonts w:eastAsia="Times New Roman"/>
          <w:b/>
          <w:bCs/>
          <w:lang w:val="de-DE"/>
        </w:rPr>
        <w:t xml:space="preserve">Brussels </w:t>
      </w:r>
      <w:proofErr w:type="spellStart"/>
      <w:r w:rsidRPr="00AB2443">
        <w:rPr>
          <w:rFonts w:eastAsia="Times New Roman"/>
          <w:b/>
          <w:bCs/>
          <w:lang w:val="de-DE"/>
        </w:rPr>
        <w:t>by</w:t>
      </w:r>
      <w:proofErr w:type="spellEnd"/>
      <w:r w:rsidRPr="00AB2443">
        <w:rPr>
          <w:rFonts w:eastAsia="Times New Roman"/>
          <w:b/>
          <w:bCs/>
          <w:lang w:val="de-DE"/>
        </w:rPr>
        <w:t xml:space="preserve"> Night</w:t>
      </w:r>
    </w:p>
    <w:p w14:paraId="4BCF5B75" w14:textId="77777777" w:rsidR="00C22348" w:rsidRDefault="00C22348" w:rsidP="002711EF">
      <w:pPr>
        <w:spacing w:after="0" w:line="240" w:lineRule="auto"/>
        <w:rPr>
          <w:rFonts w:eastAsia="Times New Roman"/>
          <w:lang w:val="nl-BE"/>
        </w:rPr>
      </w:pPr>
    </w:p>
    <w:p w14:paraId="77E6B790" w14:textId="5C0E8DDE" w:rsidR="00C22348" w:rsidRPr="00F03037" w:rsidRDefault="00AB2443" w:rsidP="002711EF">
      <w:pPr>
        <w:spacing w:after="0" w:line="240" w:lineRule="auto"/>
        <w:rPr>
          <w:rFonts w:eastAsia="Times New Roman"/>
          <w:lang w:val="nl-BE"/>
        </w:rPr>
      </w:pPr>
      <w:r w:rsidRPr="00AB2443">
        <w:rPr>
          <w:rFonts w:eastAsia="Times New Roman"/>
          <w:lang w:val="de-DE"/>
        </w:rPr>
        <w:t xml:space="preserve">Nicht neu, wohl aber </w:t>
      </w:r>
      <w:r w:rsidR="00415DB5">
        <w:rPr>
          <w:rFonts w:eastAsia="Times New Roman"/>
          <w:lang w:val="de-DE"/>
        </w:rPr>
        <w:t xml:space="preserve">gibt es </w:t>
      </w:r>
      <w:r w:rsidRPr="00AB2443">
        <w:rPr>
          <w:rFonts w:eastAsia="Times New Roman"/>
          <w:lang w:val="de-DE"/>
        </w:rPr>
        <w:t>viel Neues zu entdecken.</w:t>
      </w:r>
      <w:r w:rsidR="00C22348" w:rsidRPr="00F03037">
        <w:rPr>
          <w:rFonts w:eastAsia="Times New Roman"/>
          <w:lang w:val="nl-BE"/>
        </w:rPr>
        <w:t xml:space="preserve"> </w:t>
      </w:r>
      <w:r w:rsidRPr="00AB2443">
        <w:rPr>
          <w:rFonts w:eastAsia="Times New Roman"/>
          <w:lang w:val="de-DE"/>
        </w:rPr>
        <w:t>Der Trend setzt sich fort.</w:t>
      </w:r>
      <w:r w:rsidR="00C22348" w:rsidRPr="00F03037">
        <w:rPr>
          <w:rFonts w:eastAsia="Times New Roman"/>
          <w:lang w:val="nl-BE"/>
        </w:rPr>
        <w:t xml:space="preserve"> </w:t>
      </w:r>
      <w:r w:rsidRPr="00AB2443">
        <w:rPr>
          <w:rFonts w:eastAsia="Times New Roman"/>
          <w:lang w:val="de-DE"/>
        </w:rPr>
        <w:t xml:space="preserve">Nach unserer gezielten Investition im Jahr 2022 gewinnt unsere </w:t>
      </w:r>
      <w:proofErr w:type="spellStart"/>
      <w:r w:rsidRPr="00AB2443">
        <w:rPr>
          <w:rFonts w:eastAsia="Times New Roman"/>
          <w:lang w:val="de-DE"/>
        </w:rPr>
        <w:t>Bedding</w:t>
      </w:r>
      <w:proofErr w:type="spellEnd"/>
      <w:r w:rsidRPr="00AB2443">
        <w:rPr>
          <w:rFonts w:eastAsia="Times New Roman"/>
          <w:lang w:val="de-DE"/>
        </w:rPr>
        <w:t>-Halle weiter an Qualität.</w:t>
      </w:r>
      <w:r w:rsidR="00C22348" w:rsidRPr="00F03037">
        <w:rPr>
          <w:rFonts w:eastAsia="Times New Roman"/>
          <w:lang w:val="nl-BE"/>
        </w:rPr>
        <w:t xml:space="preserve"> </w:t>
      </w:r>
      <w:r w:rsidRPr="00AB2443">
        <w:rPr>
          <w:rFonts w:eastAsia="Times New Roman"/>
          <w:lang w:val="de-DE"/>
        </w:rPr>
        <w:t xml:space="preserve">90 % der belegten Fläche wurden 2023 wieder von denselben Ausstellern belegt (ein Beweis für Kontinuität), und wir erleben ein qualitatives Wachstum mit Newcomern wie </w:t>
      </w:r>
      <w:proofErr w:type="spellStart"/>
      <w:r w:rsidRPr="00AB2443">
        <w:rPr>
          <w:rFonts w:eastAsia="Times New Roman"/>
          <w:lang w:val="de-DE"/>
        </w:rPr>
        <w:t>Luxury</w:t>
      </w:r>
      <w:proofErr w:type="spellEnd"/>
      <w:r w:rsidRPr="00AB2443">
        <w:rPr>
          <w:rFonts w:eastAsia="Times New Roman"/>
          <w:lang w:val="de-DE"/>
        </w:rPr>
        <w:t xml:space="preserve"> </w:t>
      </w:r>
      <w:proofErr w:type="spellStart"/>
      <w:r w:rsidRPr="00AB2443">
        <w:rPr>
          <w:rFonts w:eastAsia="Times New Roman"/>
          <w:lang w:val="de-DE"/>
        </w:rPr>
        <w:t>Bedding</w:t>
      </w:r>
      <w:proofErr w:type="spellEnd"/>
      <w:r w:rsidRPr="00AB2443">
        <w:rPr>
          <w:rFonts w:eastAsia="Times New Roman"/>
          <w:lang w:val="de-DE"/>
        </w:rPr>
        <w:t xml:space="preserve"> Company, </w:t>
      </w:r>
      <w:proofErr w:type="spellStart"/>
      <w:r w:rsidRPr="00AB2443">
        <w:rPr>
          <w:rFonts w:eastAsia="Times New Roman"/>
          <w:lang w:val="de-DE"/>
        </w:rPr>
        <w:t>Adova</w:t>
      </w:r>
      <w:proofErr w:type="spellEnd"/>
      <w:r w:rsidRPr="00AB2443">
        <w:rPr>
          <w:rFonts w:eastAsia="Times New Roman"/>
          <w:lang w:val="de-DE"/>
        </w:rPr>
        <w:t xml:space="preserve"> Group, Gomarco und </w:t>
      </w:r>
      <w:proofErr w:type="spellStart"/>
      <w:r w:rsidRPr="00AB2443">
        <w:rPr>
          <w:rFonts w:eastAsia="Times New Roman"/>
          <w:lang w:val="de-DE"/>
        </w:rPr>
        <w:t>Rogaswisstech</w:t>
      </w:r>
      <w:proofErr w:type="spellEnd"/>
      <w:r w:rsidRPr="00AB2443">
        <w:rPr>
          <w:rFonts w:eastAsia="Times New Roman"/>
          <w:lang w:val="de-DE"/>
        </w:rPr>
        <w:t>.</w:t>
      </w:r>
      <w:r w:rsidR="00CC003F" w:rsidRPr="00F03037">
        <w:rPr>
          <w:rFonts w:eastAsia="Times New Roman"/>
          <w:lang w:val="nl-BE"/>
        </w:rPr>
        <w:t xml:space="preserve"> </w:t>
      </w:r>
      <w:r w:rsidRPr="00AB2443">
        <w:rPr>
          <w:rFonts w:eastAsia="Times New Roman"/>
          <w:lang w:val="de-DE"/>
        </w:rPr>
        <w:t>Eine schöne Internationalisierung des Angebots.</w:t>
      </w:r>
    </w:p>
    <w:p w14:paraId="7821E18F" w14:textId="77777777" w:rsidR="00FF0D4A" w:rsidRDefault="00FF0D4A" w:rsidP="002711EF">
      <w:pPr>
        <w:spacing w:after="0" w:line="240" w:lineRule="auto"/>
        <w:rPr>
          <w:rFonts w:eastAsia="Times New Roman"/>
          <w:lang w:val="nl-BE"/>
        </w:rPr>
      </w:pPr>
    </w:p>
    <w:p w14:paraId="7339DA1F" w14:textId="77777777" w:rsidR="002F5E50" w:rsidRDefault="002F5E50" w:rsidP="002711EF">
      <w:pPr>
        <w:spacing w:after="0" w:line="240" w:lineRule="auto"/>
        <w:rPr>
          <w:rFonts w:eastAsia="Times New Roman"/>
          <w:lang w:val="nl-BE"/>
        </w:rPr>
      </w:pPr>
    </w:p>
    <w:tbl>
      <w:tblPr>
        <w:tblW w:w="4560" w:type="dxa"/>
        <w:jc w:val="center"/>
        <w:tblLayout w:type="fixed"/>
        <w:tblCellMar>
          <w:left w:w="70" w:type="dxa"/>
          <w:right w:w="70" w:type="dxa"/>
        </w:tblCellMar>
        <w:tblLook w:val="04A0" w:firstRow="1" w:lastRow="0" w:firstColumn="1" w:lastColumn="0" w:noHBand="0" w:noVBand="1"/>
      </w:tblPr>
      <w:tblGrid>
        <w:gridCol w:w="1937"/>
        <w:gridCol w:w="2623"/>
      </w:tblGrid>
      <w:tr w:rsidR="00C56D1C" w:rsidRPr="00C56D1C" w14:paraId="1246D1E4" w14:textId="77777777" w:rsidTr="00AB2443">
        <w:trPr>
          <w:jc w:val="center"/>
        </w:trPr>
        <w:tc>
          <w:tcPr>
            <w:tcW w:w="456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C28BF7D" w14:textId="0D7AF555" w:rsidR="00C56D1C" w:rsidRPr="00F03037" w:rsidRDefault="00AB2443" w:rsidP="00AB2443">
            <w:pPr>
              <w:spacing w:after="0" w:line="240" w:lineRule="auto"/>
              <w:jc w:val="center"/>
              <w:rPr>
                <w:rFonts w:ascii="Aptos Narrow" w:eastAsia="Times New Roman" w:hAnsi="Aptos Narrow" w:cs="Times New Roman"/>
                <w:b/>
                <w:bCs/>
                <w:color w:val="000000"/>
                <w:lang w:eastAsia="fr-BE"/>
              </w:rPr>
            </w:pPr>
            <w:r w:rsidRPr="00AB2443">
              <w:rPr>
                <w:rFonts w:ascii="Aptos Narrow" w:eastAsia="Times New Roman" w:hAnsi="Aptos Narrow" w:cs="Times New Roman"/>
                <w:b/>
                <w:bCs/>
                <w:lang w:val="de-DE" w:eastAsia="fr-BE"/>
              </w:rPr>
              <w:t xml:space="preserve">2024 - Brussels </w:t>
            </w:r>
            <w:proofErr w:type="spellStart"/>
            <w:r w:rsidRPr="00AB2443">
              <w:rPr>
                <w:rFonts w:ascii="Aptos Narrow" w:eastAsia="Times New Roman" w:hAnsi="Aptos Narrow" w:cs="Times New Roman"/>
                <w:b/>
                <w:bCs/>
                <w:lang w:val="de-DE" w:eastAsia="fr-BE"/>
              </w:rPr>
              <w:t>by</w:t>
            </w:r>
            <w:proofErr w:type="spellEnd"/>
            <w:r w:rsidRPr="00AB2443">
              <w:rPr>
                <w:rFonts w:ascii="Aptos Narrow" w:eastAsia="Times New Roman" w:hAnsi="Aptos Narrow" w:cs="Times New Roman"/>
                <w:b/>
                <w:bCs/>
                <w:lang w:val="de-DE" w:eastAsia="fr-BE"/>
              </w:rPr>
              <w:t xml:space="preserve"> Night</w:t>
            </w:r>
          </w:p>
        </w:tc>
      </w:tr>
      <w:tr w:rsidR="00C56D1C" w:rsidRPr="00C56D1C" w14:paraId="27A1AD09" w14:textId="77777777" w:rsidTr="00AB2443">
        <w:trPr>
          <w:jc w:val="center"/>
        </w:trPr>
        <w:tc>
          <w:tcPr>
            <w:tcW w:w="1937" w:type="dxa"/>
            <w:tcBorders>
              <w:top w:val="nil"/>
              <w:left w:val="single" w:sz="4" w:space="0" w:color="auto"/>
              <w:bottom w:val="single" w:sz="4" w:space="0" w:color="auto"/>
              <w:right w:val="single" w:sz="4" w:space="0" w:color="auto"/>
            </w:tcBorders>
            <w:shd w:val="clear" w:color="auto" w:fill="auto"/>
            <w:noWrap/>
            <w:vAlign w:val="center"/>
            <w:hideMark/>
          </w:tcPr>
          <w:p w14:paraId="41EEC323" w14:textId="63C20671" w:rsidR="00C56D1C" w:rsidRPr="00F03037" w:rsidRDefault="00AB2443" w:rsidP="00AB2443">
            <w:pPr>
              <w:spacing w:after="0" w:line="240" w:lineRule="auto"/>
              <w:jc w:val="center"/>
              <w:rPr>
                <w:rFonts w:ascii="Aptos Narrow" w:eastAsia="Times New Roman" w:hAnsi="Aptos Narrow" w:cs="Times New Roman"/>
                <w:i/>
                <w:iCs/>
                <w:color w:val="000000"/>
                <w:lang w:eastAsia="fr-BE"/>
              </w:rPr>
            </w:pPr>
            <w:r w:rsidRPr="00AB2443">
              <w:rPr>
                <w:rFonts w:ascii="Aptos Narrow" w:eastAsia="Times New Roman" w:hAnsi="Aptos Narrow" w:cs="Times New Roman"/>
                <w:i/>
                <w:iCs/>
                <w:lang w:val="de-DE" w:eastAsia="fr-BE"/>
              </w:rPr>
              <w:t>Land</w:t>
            </w:r>
          </w:p>
        </w:tc>
        <w:tc>
          <w:tcPr>
            <w:tcW w:w="2623" w:type="dxa"/>
            <w:tcBorders>
              <w:top w:val="nil"/>
              <w:left w:val="nil"/>
              <w:bottom w:val="single" w:sz="4" w:space="0" w:color="auto"/>
              <w:right w:val="single" w:sz="4" w:space="0" w:color="auto"/>
            </w:tcBorders>
            <w:shd w:val="clear" w:color="auto" w:fill="auto"/>
            <w:noWrap/>
            <w:vAlign w:val="center"/>
            <w:hideMark/>
          </w:tcPr>
          <w:p w14:paraId="7FC0EF1A" w14:textId="6E4FA529" w:rsidR="00C56D1C" w:rsidRPr="00F03037" w:rsidRDefault="00AB2443" w:rsidP="00AB2443">
            <w:pPr>
              <w:spacing w:after="0" w:line="240" w:lineRule="auto"/>
              <w:jc w:val="center"/>
              <w:rPr>
                <w:rFonts w:ascii="Aptos Narrow" w:eastAsia="Times New Roman" w:hAnsi="Aptos Narrow" w:cs="Times New Roman"/>
                <w:i/>
                <w:iCs/>
                <w:color w:val="000000"/>
                <w:lang w:eastAsia="fr-BE"/>
              </w:rPr>
            </w:pPr>
            <w:r w:rsidRPr="00AB2443">
              <w:rPr>
                <w:rFonts w:ascii="Aptos Narrow" w:eastAsia="Times New Roman" w:hAnsi="Aptos Narrow" w:cs="Times New Roman"/>
                <w:i/>
                <w:iCs/>
                <w:lang w:val="de-DE" w:eastAsia="fr-BE"/>
              </w:rPr>
              <w:t>#vertretene Marken</w:t>
            </w:r>
          </w:p>
        </w:tc>
      </w:tr>
      <w:tr w:rsidR="00C56D1C" w:rsidRPr="00C56D1C" w14:paraId="6E34F76A" w14:textId="77777777" w:rsidTr="00AB2443">
        <w:trPr>
          <w:jc w:val="center"/>
        </w:trPr>
        <w:tc>
          <w:tcPr>
            <w:tcW w:w="1937" w:type="dxa"/>
            <w:tcBorders>
              <w:top w:val="nil"/>
              <w:left w:val="single" w:sz="4" w:space="0" w:color="auto"/>
              <w:bottom w:val="single" w:sz="4" w:space="0" w:color="auto"/>
              <w:right w:val="single" w:sz="4" w:space="0" w:color="auto"/>
            </w:tcBorders>
            <w:shd w:val="clear" w:color="auto" w:fill="auto"/>
            <w:noWrap/>
            <w:vAlign w:val="bottom"/>
            <w:hideMark/>
          </w:tcPr>
          <w:p w14:paraId="0077FE07" w14:textId="48A0DFA9" w:rsidR="00C56D1C" w:rsidRPr="00F03037" w:rsidRDefault="00AB2443" w:rsidP="00AB2443">
            <w:pPr>
              <w:spacing w:after="0" w:line="240" w:lineRule="auto"/>
              <w:rPr>
                <w:rFonts w:ascii="Aptos Narrow" w:eastAsia="Times New Roman" w:hAnsi="Aptos Narrow" w:cs="Times New Roman"/>
                <w:color w:val="000000"/>
                <w:lang w:eastAsia="fr-BE"/>
              </w:rPr>
            </w:pPr>
            <w:r w:rsidRPr="00AB2443">
              <w:rPr>
                <w:rFonts w:ascii="Aptos Narrow" w:eastAsia="Times New Roman" w:hAnsi="Aptos Narrow" w:cs="Times New Roman"/>
                <w:lang w:val="de-DE" w:eastAsia="fr-BE"/>
              </w:rPr>
              <w:t>Belgien</w:t>
            </w:r>
          </w:p>
        </w:tc>
        <w:tc>
          <w:tcPr>
            <w:tcW w:w="2623" w:type="dxa"/>
            <w:tcBorders>
              <w:top w:val="nil"/>
              <w:left w:val="nil"/>
              <w:bottom w:val="single" w:sz="4" w:space="0" w:color="auto"/>
              <w:right w:val="single" w:sz="4" w:space="0" w:color="auto"/>
            </w:tcBorders>
            <w:shd w:val="clear" w:color="auto" w:fill="auto"/>
            <w:noWrap/>
            <w:vAlign w:val="bottom"/>
            <w:hideMark/>
          </w:tcPr>
          <w:p w14:paraId="1658F829" w14:textId="77777777" w:rsidR="00C56D1C" w:rsidRPr="00C56D1C" w:rsidRDefault="00C56D1C" w:rsidP="00C56D1C">
            <w:pPr>
              <w:spacing w:after="0" w:line="240" w:lineRule="auto"/>
              <w:jc w:val="center"/>
              <w:rPr>
                <w:rFonts w:ascii="Aptos Narrow" w:eastAsia="Times New Roman" w:hAnsi="Aptos Narrow" w:cs="Times New Roman"/>
                <w:color w:val="000000"/>
                <w:lang w:eastAsia="fr-BE"/>
              </w:rPr>
            </w:pPr>
            <w:r w:rsidRPr="00C56D1C">
              <w:rPr>
                <w:rFonts w:ascii="Aptos Narrow" w:eastAsia="Times New Roman" w:hAnsi="Aptos Narrow" w:cs="Times New Roman"/>
                <w:color w:val="000000"/>
                <w:lang w:eastAsia="fr-BE"/>
              </w:rPr>
              <w:t>12</w:t>
            </w:r>
          </w:p>
        </w:tc>
      </w:tr>
      <w:tr w:rsidR="00C56D1C" w:rsidRPr="00C56D1C" w14:paraId="408C86AB" w14:textId="77777777" w:rsidTr="00AB2443">
        <w:trPr>
          <w:jc w:val="center"/>
        </w:trPr>
        <w:tc>
          <w:tcPr>
            <w:tcW w:w="1937" w:type="dxa"/>
            <w:tcBorders>
              <w:top w:val="nil"/>
              <w:left w:val="single" w:sz="4" w:space="0" w:color="auto"/>
              <w:bottom w:val="single" w:sz="4" w:space="0" w:color="auto"/>
              <w:right w:val="single" w:sz="4" w:space="0" w:color="auto"/>
            </w:tcBorders>
            <w:shd w:val="clear" w:color="000000" w:fill="F2F2F2"/>
            <w:noWrap/>
            <w:vAlign w:val="bottom"/>
            <w:hideMark/>
          </w:tcPr>
          <w:p w14:paraId="01047D88" w14:textId="4DB6F4E4" w:rsidR="00C56D1C" w:rsidRPr="00F03037" w:rsidRDefault="00AB2443" w:rsidP="00AB2443">
            <w:pPr>
              <w:spacing w:after="0" w:line="240" w:lineRule="auto"/>
              <w:rPr>
                <w:rFonts w:ascii="Aptos Narrow" w:eastAsia="Times New Roman" w:hAnsi="Aptos Narrow" w:cs="Times New Roman"/>
                <w:color w:val="000000"/>
                <w:lang w:eastAsia="fr-BE"/>
              </w:rPr>
            </w:pPr>
            <w:r w:rsidRPr="00AB2443">
              <w:rPr>
                <w:rFonts w:ascii="Aptos Narrow" w:eastAsia="Times New Roman" w:hAnsi="Aptos Narrow" w:cs="Times New Roman"/>
                <w:lang w:val="de-DE" w:eastAsia="fr-BE"/>
              </w:rPr>
              <w:t>Niederlande</w:t>
            </w:r>
          </w:p>
        </w:tc>
        <w:tc>
          <w:tcPr>
            <w:tcW w:w="2623" w:type="dxa"/>
            <w:tcBorders>
              <w:top w:val="nil"/>
              <w:left w:val="nil"/>
              <w:bottom w:val="single" w:sz="4" w:space="0" w:color="auto"/>
              <w:right w:val="single" w:sz="4" w:space="0" w:color="auto"/>
            </w:tcBorders>
            <w:shd w:val="clear" w:color="000000" w:fill="F2F2F2"/>
            <w:noWrap/>
            <w:vAlign w:val="bottom"/>
            <w:hideMark/>
          </w:tcPr>
          <w:p w14:paraId="24508860" w14:textId="77777777" w:rsidR="00C56D1C" w:rsidRPr="00C56D1C" w:rsidRDefault="00C56D1C" w:rsidP="00C56D1C">
            <w:pPr>
              <w:spacing w:after="0" w:line="240" w:lineRule="auto"/>
              <w:jc w:val="center"/>
              <w:rPr>
                <w:rFonts w:ascii="Aptos Narrow" w:eastAsia="Times New Roman" w:hAnsi="Aptos Narrow" w:cs="Times New Roman"/>
                <w:color w:val="000000"/>
                <w:lang w:eastAsia="fr-BE"/>
              </w:rPr>
            </w:pPr>
            <w:r w:rsidRPr="00C56D1C">
              <w:rPr>
                <w:rFonts w:ascii="Aptos Narrow" w:eastAsia="Times New Roman" w:hAnsi="Aptos Narrow" w:cs="Times New Roman"/>
                <w:color w:val="000000"/>
                <w:lang w:eastAsia="fr-BE"/>
              </w:rPr>
              <w:t>10</w:t>
            </w:r>
          </w:p>
        </w:tc>
      </w:tr>
      <w:tr w:rsidR="00C56D1C" w:rsidRPr="00C56D1C" w14:paraId="4520B804" w14:textId="77777777" w:rsidTr="00AB2443">
        <w:trPr>
          <w:jc w:val="center"/>
        </w:trPr>
        <w:tc>
          <w:tcPr>
            <w:tcW w:w="1937" w:type="dxa"/>
            <w:tcBorders>
              <w:top w:val="nil"/>
              <w:left w:val="single" w:sz="4" w:space="0" w:color="auto"/>
              <w:bottom w:val="single" w:sz="4" w:space="0" w:color="auto"/>
              <w:right w:val="single" w:sz="4" w:space="0" w:color="auto"/>
            </w:tcBorders>
            <w:shd w:val="clear" w:color="auto" w:fill="auto"/>
            <w:noWrap/>
            <w:vAlign w:val="bottom"/>
            <w:hideMark/>
          </w:tcPr>
          <w:p w14:paraId="6A173183" w14:textId="18E7366F" w:rsidR="00C56D1C" w:rsidRPr="00F03037" w:rsidRDefault="00AB2443" w:rsidP="00AB2443">
            <w:pPr>
              <w:spacing w:after="0" w:line="240" w:lineRule="auto"/>
              <w:rPr>
                <w:rFonts w:ascii="Aptos Narrow" w:eastAsia="Times New Roman" w:hAnsi="Aptos Narrow" w:cs="Times New Roman"/>
                <w:color w:val="000000"/>
                <w:lang w:eastAsia="fr-BE"/>
              </w:rPr>
            </w:pPr>
            <w:r w:rsidRPr="00AB2443">
              <w:rPr>
                <w:rFonts w:ascii="Aptos Narrow" w:eastAsia="Times New Roman" w:hAnsi="Aptos Narrow" w:cs="Times New Roman"/>
                <w:lang w:val="de-DE" w:eastAsia="fr-BE"/>
              </w:rPr>
              <w:t>Deutschland</w:t>
            </w:r>
          </w:p>
        </w:tc>
        <w:tc>
          <w:tcPr>
            <w:tcW w:w="2623" w:type="dxa"/>
            <w:tcBorders>
              <w:top w:val="nil"/>
              <w:left w:val="nil"/>
              <w:bottom w:val="single" w:sz="4" w:space="0" w:color="auto"/>
              <w:right w:val="single" w:sz="4" w:space="0" w:color="auto"/>
            </w:tcBorders>
            <w:shd w:val="clear" w:color="auto" w:fill="auto"/>
            <w:noWrap/>
            <w:vAlign w:val="bottom"/>
            <w:hideMark/>
          </w:tcPr>
          <w:p w14:paraId="16D35997" w14:textId="77777777" w:rsidR="00C56D1C" w:rsidRPr="00C56D1C" w:rsidRDefault="00C56D1C" w:rsidP="00C56D1C">
            <w:pPr>
              <w:spacing w:after="0" w:line="240" w:lineRule="auto"/>
              <w:jc w:val="center"/>
              <w:rPr>
                <w:rFonts w:ascii="Aptos Narrow" w:eastAsia="Times New Roman" w:hAnsi="Aptos Narrow" w:cs="Times New Roman"/>
                <w:color w:val="000000"/>
                <w:lang w:eastAsia="fr-BE"/>
              </w:rPr>
            </w:pPr>
            <w:r w:rsidRPr="00C56D1C">
              <w:rPr>
                <w:rFonts w:ascii="Aptos Narrow" w:eastAsia="Times New Roman" w:hAnsi="Aptos Narrow" w:cs="Times New Roman"/>
                <w:color w:val="000000"/>
                <w:lang w:eastAsia="fr-BE"/>
              </w:rPr>
              <w:t>2</w:t>
            </w:r>
          </w:p>
        </w:tc>
      </w:tr>
      <w:tr w:rsidR="00C56D1C" w:rsidRPr="00C56D1C" w14:paraId="47975A01" w14:textId="77777777" w:rsidTr="00AB2443">
        <w:trPr>
          <w:jc w:val="center"/>
        </w:trPr>
        <w:tc>
          <w:tcPr>
            <w:tcW w:w="1937" w:type="dxa"/>
            <w:tcBorders>
              <w:top w:val="nil"/>
              <w:left w:val="single" w:sz="4" w:space="0" w:color="auto"/>
              <w:bottom w:val="single" w:sz="4" w:space="0" w:color="auto"/>
              <w:right w:val="single" w:sz="4" w:space="0" w:color="auto"/>
            </w:tcBorders>
            <w:shd w:val="clear" w:color="000000" w:fill="F2F2F2"/>
            <w:noWrap/>
            <w:vAlign w:val="bottom"/>
            <w:hideMark/>
          </w:tcPr>
          <w:p w14:paraId="13405A35" w14:textId="5AF84436" w:rsidR="00C56D1C" w:rsidRPr="00F03037" w:rsidRDefault="00AB2443" w:rsidP="00AB2443">
            <w:pPr>
              <w:spacing w:after="0" w:line="240" w:lineRule="auto"/>
              <w:rPr>
                <w:rFonts w:ascii="Aptos Narrow" w:eastAsia="Times New Roman" w:hAnsi="Aptos Narrow" w:cs="Times New Roman"/>
                <w:color w:val="000000"/>
                <w:lang w:eastAsia="fr-BE"/>
              </w:rPr>
            </w:pPr>
            <w:r w:rsidRPr="00AB2443">
              <w:rPr>
                <w:rFonts w:ascii="Aptos Narrow" w:eastAsia="Times New Roman" w:hAnsi="Aptos Narrow" w:cs="Times New Roman"/>
                <w:lang w:val="de-DE" w:eastAsia="fr-BE"/>
              </w:rPr>
              <w:t>Frankreich</w:t>
            </w:r>
          </w:p>
        </w:tc>
        <w:tc>
          <w:tcPr>
            <w:tcW w:w="2623" w:type="dxa"/>
            <w:tcBorders>
              <w:top w:val="nil"/>
              <w:left w:val="nil"/>
              <w:bottom w:val="single" w:sz="4" w:space="0" w:color="auto"/>
              <w:right w:val="single" w:sz="4" w:space="0" w:color="auto"/>
            </w:tcBorders>
            <w:shd w:val="clear" w:color="000000" w:fill="F2F2F2"/>
            <w:noWrap/>
            <w:vAlign w:val="bottom"/>
            <w:hideMark/>
          </w:tcPr>
          <w:p w14:paraId="26D1542F" w14:textId="77777777" w:rsidR="00C56D1C" w:rsidRPr="00C56D1C" w:rsidRDefault="00C56D1C" w:rsidP="00C56D1C">
            <w:pPr>
              <w:spacing w:after="0" w:line="240" w:lineRule="auto"/>
              <w:jc w:val="center"/>
              <w:rPr>
                <w:rFonts w:ascii="Aptos Narrow" w:eastAsia="Times New Roman" w:hAnsi="Aptos Narrow" w:cs="Times New Roman"/>
                <w:color w:val="000000"/>
                <w:lang w:eastAsia="fr-BE"/>
              </w:rPr>
            </w:pPr>
            <w:r w:rsidRPr="00C56D1C">
              <w:rPr>
                <w:rFonts w:ascii="Aptos Narrow" w:eastAsia="Times New Roman" w:hAnsi="Aptos Narrow" w:cs="Times New Roman"/>
                <w:color w:val="000000"/>
                <w:lang w:eastAsia="fr-BE"/>
              </w:rPr>
              <w:t>2</w:t>
            </w:r>
          </w:p>
        </w:tc>
      </w:tr>
      <w:tr w:rsidR="00C56D1C" w:rsidRPr="00C56D1C" w14:paraId="66A4BFD1" w14:textId="77777777" w:rsidTr="00AB2443">
        <w:trPr>
          <w:jc w:val="center"/>
        </w:trPr>
        <w:tc>
          <w:tcPr>
            <w:tcW w:w="1937" w:type="dxa"/>
            <w:tcBorders>
              <w:top w:val="nil"/>
              <w:left w:val="single" w:sz="4" w:space="0" w:color="auto"/>
              <w:bottom w:val="single" w:sz="4" w:space="0" w:color="auto"/>
              <w:right w:val="single" w:sz="4" w:space="0" w:color="auto"/>
            </w:tcBorders>
            <w:shd w:val="clear" w:color="auto" w:fill="auto"/>
            <w:noWrap/>
            <w:vAlign w:val="bottom"/>
            <w:hideMark/>
          </w:tcPr>
          <w:p w14:paraId="1464A46B" w14:textId="02113AA0" w:rsidR="00C56D1C" w:rsidRPr="00F03037" w:rsidRDefault="00AB2443" w:rsidP="00AB2443">
            <w:pPr>
              <w:spacing w:after="0" w:line="240" w:lineRule="auto"/>
              <w:rPr>
                <w:rFonts w:ascii="Aptos Narrow" w:eastAsia="Times New Roman" w:hAnsi="Aptos Narrow" w:cs="Times New Roman"/>
                <w:color w:val="000000"/>
                <w:lang w:eastAsia="fr-BE"/>
              </w:rPr>
            </w:pPr>
            <w:r w:rsidRPr="00AB2443">
              <w:rPr>
                <w:rFonts w:ascii="Aptos Narrow" w:eastAsia="Times New Roman" w:hAnsi="Aptos Narrow" w:cs="Times New Roman"/>
                <w:lang w:val="de-DE" w:eastAsia="fr-BE"/>
              </w:rPr>
              <w:t>Ungarn</w:t>
            </w:r>
          </w:p>
        </w:tc>
        <w:tc>
          <w:tcPr>
            <w:tcW w:w="2623" w:type="dxa"/>
            <w:tcBorders>
              <w:top w:val="nil"/>
              <w:left w:val="nil"/>
              <w:bottom w:val="single" w:sz="4" w:space="0" w:color="auto"/>
              <w:right w:val="single" w:sz="4" w:space="0" w:color="auto"/>
            </w:tcBorders>
            <w:shd w:val="clear" w:color="auto" w:fill="auto"/>
            <w:noWrap/>
            <w:vAlign w:val="bottom"/>
            <w:hideMark/>
          </w:tcPr>
          <w:p w14:paraId="74045E5B" w14:textId="77777777" w:rsidR="00C56D1C" w:rsidRPr="00C56D1C" w:rsidRDefault="00C56D1C" w:rsidP="00C56D1C">
            <w:pPr>
              <w:spacing w:after="0" w:line="240" w:lineRule="auto"/>
              <w:jc w:val="center"/>
              <w:rPr>
                <w:rFonts w:ascii="Aptos Narrow" w:eastAsia="Times New Roman" w:hAnsi="Aptos Narrow" w:cs="Times New Roman"/>
                <w:color w:val="000000"/>
                <w:lang w:eastAsia="fr-BE"/>
              </w:rPr>
            </w:pPr>
            <w:r w:rsidRPr="00C56D1C">
              <w:rPr>
                <w:rFonts w:ascii="Aptos Narrow" w:eastAsia="Times New Roman" w:hAnsi="Aptos Narrow" w:cs="Times New Roman"/>
                <w:color w:val="000000"/>
                <w:lang w:eastAsia="fr-BE"/>
              </w:rPr>
              <w:t>1</w:t>
            </w:r>
          </w:p>
        </w:tc>
      </w:tr>
      <w:tr w:rsidR="00C56D1C" w:rsidRPr="00C56D1C" w14:paraId="69917240" w14:textId="77777777" w:rsidTr="00AB2443">
        <w:trPr>
          <w:jc w:val="center"/>
        </w:trPr>
        <w:tc>
          <w:tcPr>
            <w:tcW w:w="1937" w:type="dxa"/>
            <w:tcBorders>
              <w:top w:val="nil"/>
              <w:left w:val="single" w:sz="4" w:space="0" w:color="auto"/>
              <w:bottom w:val="single" w:sz="4" w:space="0" w:color="auto"/>
              <w:right w:val="single" w:sz="4" w:space="0" w:color="auto"/>
            </w:tcBorders>
            <w:shd w:val="clear" w:color="000000" w:fill="F2F2F2"/>
            <w:noWrap/>
            <w:vAlign w:val="bottom"/>
            <w:hideMark/>
          </w:tcPr>
          <w:p w14:paraId="595FB161" w14:textId="07DC0458" w:rsidR="00C56D1C" w:rsidRPr="00F03037" w:rsidRDefault="00AB2443" w:rsidP="00AB2443">
            <w:pPr>
              <w:spacing w:after="0" w:line="240" w:lineRule="auto"/>
              <w:rPr>
                <w:rFonts w:ascii="Aptos Narrow" w:eastAsia="Times New Roman" w:hAnsi="Aptos Narrow" w:cs="Times New Roman"/>
                <w:color w:val="000000"/>
                <w:lang w:eastAsia="fr-BE"/>
              </w:rPr>
            </w:pPr>
            <w:r w:rsidRPr="00AB2443">
              <w:rPr>
                <w:rFonts w:ascii="Aptos Narrow" w:eastAsia="Times New Roman" w:hAnsi="Aptos Narrow" w:cs="Times New Roman"/>
                <w:lang w:val="de-DE" w:eastAsia="fr-BE"/>
              </w:rPr>
              <w:t>Litauen</w:t>
            </w:r>
          </w:p>
        </w:tc>
        <w:tc>
          <w:tcPr>
            <w:tcW w:w="2623" w:type="dxa"/>
            <w:tcBorders>
              <w:top w:val="nil"/>
              <w:left w:val="nil"/>
              <w:bottom w:val="single" w:sz="4" w:space="0" w:color="auto"/>
              <w:right w:val="single" w:sz="4" w:space="0" w:color="auto"/>
            </w:tcBorders>
            <w:shd w:val="clear" w:color="000000" w:fill="F2F2F2"/>
            <w:noWrap/>
            <w:vAlign w:val="bottom"/>
            <w:hideMark/>
          </w:tcPr>
          <w:p w14:paraId="4724CB20" w14:textId="77777777" w:rsidR="00C56D1C" w:rsidRPr="00C56D1C" w:rsidRDefault="00C56D1C" w:rsidP="00C56D1C">
            <w:pPr>
              <w:spacing w:after="0" w:line="240" w:lineRule="auto"/>
              <w:jc w:val="center"/>
              <w:rPr>
                <w:rFonts w:ascii="Aptos Narrow" w:eastAsia="Times New Roman" w:hAnsi="Aptos Narrow" w:cs="Times New Roman"/>
                <w:color w:val="000000"/>
                <w:lang w:eastAsia="fr-BE"/>
              </w:rPr>
            </w:pPr>
            <w:r w:rsidRPr="00C56D1C">
              <w:rPr>
                <w:rFonts w:ascii="Aptos Narrow" w:eastAsia="Times New Roman" w:hAnsi="Aptos Narrow" w:cs="Times New Roman"/>
                <w:color w:val="000000"/>
                <w:lang w:eastAsia="fr-BE"/>
              </w:rPr>
              <w:t>1</w:t>
            </w:r>
          </w:p>
        </w:tc>
      </w:tr>
      <w:tr w:rsidR="00C56D1C" w:rsidRPr="00C56D1C" w14:paraId="3D6FCF3C" w14:textId="77777777" w:rsidTr="00AB2443">
        <w:trPr>
          <w:jc w:val="center"/>
        </w:trPr>
        <w:tc>
          <w:tcPr>
            <w:tcW w:w="1937" w:type="dxa"/>
            <w:tcBorders>
              <w:top w:val="nil"/>
              <w:left w:val="single" w:sz="4" w:space="0" w:color="auto"/>
              <w:bottom w:val="single" w:sz="4" w:space="0" w:color="auto"/>
              <w:right w:val="single" w:sz="4" w:space="0" w:color="auto"/>
            </w:tcBorders>
            <w:shd w:val="clear" w:color="auto" w:fill="auto"/>
            <w:noWrap/>
            <w:vAlign w:val="bottom"/>
            <w:hideMark/>
          </w:tcPr>
          <w:p w14:paraId="0BD8E31C" w14:textId="5FFEF833" w:rsidR="00C56D1C" w:rsidRPr="00F03037" w:rsidRDefault="00AB2443" w:rsidP="00AB2443">
            <w:pPr>
              <w:spacing w:after="0" w:line="240" w:lineRule="auto"/>
              <w:rPr>
                <w:rFonts w:ascii="Aptos Narrow" w:eastAsia="Times New Roman" w:hAnsi="Aptos Narrow" w:cs="Times New Roman"/>
                <w:color w:val="000000"/>
                <w:lang w:eastAsia="fr-BE"/>
              </w:rPr>
            </w:pPr>
            <w:r w:rsidRPr="00AB2443">
              <w:rPr>
                <w:rFonts w:ascii="Aptos Narrow" w:eastAsia="Times New Roman" w:hAnsi="Aptos Narrow" w:cs="Times New Roman"/>
                <w:lang w:val="de-DE" w:eastAsia="fr-BE"/>
              </w:rPr>
              <w:t>Spanien</w:t>
            </w:r>
          </w:p>
        </w:tc>
        <w:tc>
          <w:tcPr>
            <w:tcW w:w="2623" w:type="dxa"/>
            <w:tcBorders>
              <w:top w:val="nil"/>
              <w:left w:val="nil"/>
              <w:bottom w:val="single" w:sz="4" w:space="0" w:color="auto"/>
              <w:right w:val="single" w:sz="4" w:space="0" w:color="auto"/>
            </w:tcBorders>
            <w:shd w:val="clear" w:color="auto" w:fill="auto"/>
            <w:noWrap/>
            <w:vAlign w:val="bottom"/>
            <w:hideMark/>
          </w:tcPr>
          <w:p w14:paraId="1A8D6531" w14:textId="77777777" w:rsidR="00C56D1C" w:rsidRPr="00C56D1C" w:rsidRDefault="00C56D1C" w:rsidP="00C56D1C">
            <w:pPr>
              <w:spacing w:after="0" w:line="240" w:lineRule="auto"/>
              <w:jc w:val="center"/>
              <w:rPr>
                <w:rFonts w:ascii="Aptos Narrow" w:eastAsia="Times New Roman" w:hAnsi="Aptos Narrow" w:cs="Times New Roman"/>
                <w:color w:val="000000"/>
                <w:lang w:eastAsia="fr-BE"/>
              </w:rPr>
            </w:pPr>
            <w:r w:rsidRPr="00C56D1C">
              <w:rPr>
                <w:rFonts w:ascii="Aptos Narrow" w:eastAsia="Times New Roman" w:hAnsi="Aptos Narrow" w:cs="Times New Roman"/>
                <w:color w:val="000000"/>
                <w:lang w:eastAsia="fr-BE"/>
              </w:rPr>
              <w:t>1</w:t>
            </w:r>
          </w:p>
        </w:tc>
      </w:tr>
      <w:tr w:rsidR="00C56D1C" w:rsidRPr="00C56D1C" w14:paraId="1963A44A" w14:textId="77777777" w:rsidTr="00AB2443">
        <w:trPr>
          <w:jc w:val="center"/>
        </w:trPr>
        <w:tc>
          <w:tcPr>
            <w:tcW w:w="1937" w:type="dxa"/>
            <w:tcBorders>
              <w:top w:val="nil"/>
              <w:left w:val="single" w:sz="4" w:space="0" w:color="auto"/>
              <w:bottom w:val="single" w:sz="4" w:space="0" w:color="auto"/>
              <w:right w:val="single" w:sz="4" w:space="0" w:color="auto"/>
            </w:tcBorders>
            <w:shd w:val="clear" w:color="000000" w:fill="F2F2F2"/>
            <w:noWrap/>
            <w:vAlign w:val="bottom"/>
            <w:hideMark/>
          </w:tcPr>
          <w:p w14:paraId="056E00C0" w14:textId="22976E28" w:rsidR="00C56D1C" w:rsidRPr="00F03037" w:rsidRDefault="00AB2443" w:rsidP="00AB2443">
            <w:pPr>
              <w:spacing w:after="0" w:line="240" w:lineRule="auto"/>
              <w:rPr>
                <w:rFonts w:ascii="Aptos Narrow" w:eastAsia="Times New Roman" w:hAnsi="Aptos Narrow" w:cs="Times New Roman"/>
                <w:color w:val="000000"/>
                <w:lang w:eastAsia="fr-BE"/>
              </w:rPr>
            </w:pPr>
            <w:r w:rsidRPr="00AB2443">
              <w:rPr>
                <w:rFonts w:ascii="Aptos Narrow" w:eastAsia="Times New Roman" w:hAnsi="Aptos Narrow" w:cs="Times New Roman"/>
                <w:lang w:val="de-DE" w:eastAsia="fr-BE"/>
              </w:rPr>
              <w:t>Vereinigtes Königreich</w:t>
            </w:r>
          </w:p>
        </w:tc>
        <w:tc>
          <w:tcPr>
            <w:tcW w:w="2623" w:type="dxa"/>
            <w:tcBorders>
              <w:top w:val="nil"/>
              <w:left w:val="nil"/>
              <w:bottom w:val="single" w:sz="4" w:space="0" w:color="auto"/>
              <w:right w:val="single" w:sz="4" w:space="0" w:color="auto"/>
            </w:tcBorders>
            <w:shd w:val="clear" w:color="000000" w:fill="F2F2F2"/>
            <w:noWrap/>
            <w:vAlign w:val="bottom"/>
            <w:hideMark/>
          </w:tcPr>
          <w:p w14:paraId="681F71F5" w14:textId="77777777" w:rsidR="00C56D1C" w:rsidRPr="00C56D1C" w:rsidRDefault="00C56D1C" w:rsidP="00C56D1C">
            <w:pPr>
              <w:spacing w:after="0" w:line="240" w:lineRule="auto"/>
              <w:jc w:val="center"/>
              <w:rPr>
                <w:rFonts w:ascii="Aptos Narrow" w:eastAsia="Times New Roman" w:hAnsi="Aptos Narrow" w:cs="Times New Roman"/>
                <w:color w:val="000000"/>
                <w:lang w:eastAsia="fr-BE"/>
              </w:rPr>
            </w:pPr>
            <w:r w:rsidRPr="00C56D1C">
              <w:rPr>
                <w:rFonts w:ascii="Aptos Narrow" w:eastAsia="Times New Roman" w:hAnsi="Aptos Narrow" w:cs="Times New Roman"/>
                <w:color w:val="000000"/>
                <w:lang w:eastAsia="fr-BE"/>
              </w:rPr>
              <w:t>1</w:t>
            </w:r>
          </w:p>
        </w:tc>
      </w:tr>
    </w:tbl>
    <w:p w14:paraId="6F8A82D4" w14:textId="77777777" w:rsidR="002F5E50" w:rsidRDefault="002F5E50" w:rsidP="002711EF">
      <w:pPr>
        <w:spacing w:after="0" w:line="240" w:lineRule="auto"/>
        <w:rPr>
          <w:rFonts w:eastAsia="Times New Roman"/>
          <w:lang w:val="nl-BE"/>
        </w:rPr>
      </w:pPr>
    </w:p>
    <w:p w14:paraId="47E7259B" w14:textId="77777777" w:rsidR="00FF0D4A" w:rsidRDefault="00FF0D4A" w:rsidP="002711EF">
      <w:pPr>
        <w:spacing w:after="0" w:line="240" w:lineRule="auto"/>
        <w:rPr>
          <w:rFonts w:eastAsia="Times New Roman"/>
          <w:lang w:val="nl-BE"/>
        </w:rPr>
      </w:pPr>
    </w:p>
    <w:p w14:paraId="4EEA1809" w14:textId="77777777" w:rsidR="002711EF" w:rsidRDefault="002711EF" w:rsidP="002711EF">
      <w:pPr>
        <w:spacing w:after="0" w:line="240" w:lineRule="auto"/>
        <w:rPr>
          <w:rFonts w:eastAsia="Times New Roman"/>
          <w:lang w:val="nl-BE"/>
        </w:rPr>
      </w:pPr>
    </w:p>
    <w:p w14:paraId="47E6508F" w14:textId="4044F08B" w:rsidR="00CC003F" w:rsidRPr="00F03037" w:rsidRDefault="00AB2443" w:rsidP="00AB2443">
      <w:pPr>
        <w:rPr>
          <w:rFonts w:eastAsia="Times New Roman"/>
          <w:b/>
          <w:bCs/>
          <w:lang w:val="nl-BE"/>
        </w:rPr>
      </w:pPr>
      <w:r w:rsidRPr="00AB2443">
        <w:rPr>
          <w:rFonts w:eastAsia="Times New Roman"/>
          <w:b/>
          <w:bCs/>
          <w:lang w:val="de-DE"/>
        </w:rPr>
        <w:t>Information verbunden mit Animation</w:t>
      </w:r>
    </w:p>
    <w:p w14:paraId="124DB9F4" w14:textId="03268A00" w:rsidR="00CC003F" w:rsidRPr="00F03037" w:rsidRDefault="00AB2443" w:rsidP="00AB2443">
      <w:pPr>
        <w:rPr>
          <w:lang w:val="nl-BE"/>
        </w:rPr>
      </w:pPr>
      <w:r w:rsidRPr="00AB2443">
        <w:rPr>
          <w:lang w:val="de-DE"/>
        </w:rPr>
        <w:t>Auch in diesem Jahr werden die Besucher von unseren Zeitungsjungens und -mädchen empfangen.</w:t>
      </w:r>
      <w:r w:rsidR="004C03C4" w:rsidRPr="00F03037">
        <w:rPr>
          <w:lang w:val="nl-BE"/>
        </w:rPr>
        <w:t xml:space="preserve"> </w:t>
      </w:r>
      <w:r w:rsidRPr="00AB2443">
        <w:rPr>
          <w:lang w:val="de-DE"/>
        </w:rPr>
        <w:t xml:space="preserve">Sie überreichen Ihnen mit einem Lächeln die Messezeitung </w:t>
      </w:r>
      <w:r w:rsidRPr="00AB2443">
        <w:rPr>
          <w:b/>
          <w:bCs/>
          <w:lang w:val="de-DE"/>
        </w:rPr>
        <w:t>La Gazette.</w:t>
      </w:r>
      <w:r w:rsidR="004C03C4" w:rsidRPr="00F03037">
        <w:rPr>
          <w:lang w:val="nl-BE"/>
        </w:rPr>
        <w:t xml:space="preserve"> </w:t>
      </w:r>
      <w:r w:rsidRPr="00AB2443">
        <w:rPr>
          <w:lang w:val="de-DE"/>
        </w:rPr>
        <w:t>Dort finden Sie noch einmal die Neuheiten zusammengefasst mit einem Wegweiser durch die Hallen.</w:t>
      </w:r>
      <w:r w:rsidR="00064C73" w:rsidRPr="00F03037">
        <w:rPr>
          <w:lang w:val="nl-BE"/>
        </w:rPr>
        <w:t xml:space="preserve"> </w:t>
      </w:r>
      <w:r w:rsidRPr="00AB2443">
        <w:rPr>
          <w:lang w:val="de-DE"/>
        </w:rPr>
        <w:t>So werden die Besucher ermutigt, die gesamte Messe zu entdecken und gleichzeitig auch in den schönen Ruhe- und Essbereichen Entspannung zu suchen.</w:t>
      </w:r>
    </w:p>
    <w:p w14:paraId="6AEEE359" w14:textId="3D19A18B" w:rsidR="00B51D60" w:rsidRPr="00F03037" w:rsidRDefault="00AB2443" w:rsidP="00AB2443">
      <w:pPr>
        <w:rPr>
          <w:lang w:val="nl-BE"/>
        </w:rPr>
      </w:pPr>
      <w:r w:rsidRPr="00AB2443">
        <w:rPr>
          <w:lang w:val="de-DE"/>
        </w:rPr>
        <w:lastRenderedPageBreak/>
        <w:t>Aber Zeit ist Geld, und wir wollen unsere Besucher natürlich nicht von ihren vertrauten Herstellern fernhalten.</w:t>
      </w:r>
      <w:r w:rsidR="00064C73" w:rsidRPr="00F03037">
        <w:rPr>
          <w:lang w:val="nl-BE"/>
        </w:rPr>
        <w:t xml:space="preserve"> </w:t>
      </w:r>
      <w:r w:rsidRPr="00AB2443">
        <w:rPr>
          <w:lang w:val="de-DE"/>
        </w:rPr>
        <w:t xml:space="preserve">Deshalb haben wir den </w:t>
      </w:r>
      <w:r w:rsidRPr="00AB2443">
        <w:rPr>
          <w:b/>
          <w:bCs/>
          <w:lang w:val="de-DE"/>
        </w:rPr>
        <w:t>Fair Express</w:t>
      </w:r>
      <w:r w:rsidRPr="00AB2443">
        <w:rPr>
          <w:lang w:val="de-DE"/>
        </w:rPr>
        <w:t xml:space="preserve"> eingeführt, der Sie mit doppelter Geschwindigkeit, aber dennoch effizient und auf unterhaltsame Weise durch die Hallen lotst.</w:t>
      </w:r>
      <w:r w:rsidR="00064C73" w:rsidRPr="00F03037">
        <w:rPr>
          <w:lang w:val="nl-BE"/>
        </w:rPr>
        <w:t xml:space="preserve"> </w:t>
      </w:r>
      <w:r w:rsidRPr="00AB2443">
        <w:rPr>
          <w:lang w:val="de-DE"/>
        </w:rPr>
        <w:t xml:space="preserve">Und </w:t>
      </w:r>
      <w:r w:rsidR="00415DB5" w:rsidRPr="00AB2443">
        <w:rPr>
          <w:lang w:val="de-DE"/>
        </w:rPr>
        <w:t xml:space="preserve">an Bord kommt </w:t>
      </w:r>
      <w:r w:rsidRPr="00AB2443">
        <w:rPr>
          <w:lang w:val="de-DE"/>
        </w:rPr>
        <w:t xml:space="preserve">mit unseren </w:t>
      </w:r>
      <w:proofErr w:type="spellStart"/>
      <w:r w:rsidRPr="00AB2443">
        <w:rPr>
          <w:lang w:val="de-DE"/>
        </w:rPr>
        <w:t>Rikschafahrern</w:t>
      </w:r>
      <w:proofErr w:type="spellEnd"/>
      <w:r w:rsidRPr="00AB2443">
        <w:rPr>
          <w:lang w:val="de-DE"/>
        </w:rPr>
        <w:t xml:space="preserve"> das Erlebnis nicht zu kurz.</w:t>
      </w:r>
    </w:p>
    <w:p w14:paraId="4FED8F97" w14:textId="77777777" w:rsidR="003801E9" w:rsidRPr="003801E9" w:rsidRDefault="003801E9" w:rsidP="00B51D60">
      <w:pPr>
        <w:rPr>
          <w:lang w:val="nl-BE"/>
        </w:rPr>
      </w:pPr>
    </w:p>
    <w:p w14:paraId="0B47D618" w14:textId="7A379323" w:rsidR="00B51D60" w:rsidRPr="00F03037" w:rsidRDefault="00AB2443" w:rsidP="00AB2443">
      <w:pPr>
        <w:rPr>
          <w:b/>
          <w:bCs/>
          <w:lang w:val="nl-BE"/>
        </w:rPr>
      </w:pPr>
      <w:r w:rsidRPr="00AB2443">
        <w:rPr>
          <w:b/>
          <w:bCs/>
          <w:lang w:val="de-DE"/>
        </w:rPr>
        <w:t>D</w:t>
      </w:r>
      <w:r w:rsidR="00EC00B5">
        <w:rPr>
          <w:b/>
          <w:bCs/>
          <w:lang w:val="de-DE"/>
        </w:rPr>
        <w:t>i</w:t>
      </w:r>
      <w:r w:rsidRPr="00AB2443">
        <w:rPr>
          <w:b/>
          <w:bCs/>
          <w:lang w:val="de-DE"/>
        </w:rPr>
        <w:t xml:space="preserve">e </w:t>
      </w:r>
      <w:r w:rsidR="00EC00B5">
        <w:rPr>
          <w:b/>
          <w:bCs/>
          <w:lang w:val="de-DE"/>
        </w:rPr>
        <w:t>Brüsseler Möbelmesse</w:t>
      </w:r>
      <w:r w:rsidRPr="00AB2443">
        <w:rPr>
          <w:b/>
          <w:bCs/>
          <w:lang w:val="de-DE"/>
        </w:rPr>
        <w:t xml:space="preserve"> 2024 in Zahlen</w:t>
      </w:r>
    </w:p>
    <w:p w14:paraId="4C43077F" w14:textId="1C0236F4" w:rsidR="007608AB" w:rsidRPr="007608AB" w:rsidRDefault="00807BF1" w:rsidP="00807BF1">
      <w:pPr>
        <w:spacing w:after="0"/>
        <w:rPr>
          <w:lang w:val="nl-BE"/>
        </w:rPr>
      </w:pPr>
      <w:r w:rsidRPr="00807BF1">
        <w:rPr>
          <w:lang w:val="de-DE"/>
        </w:rPr>
        <w:t>Sieht man sich die Zahlen in der nachstehenden Tabelle an, fällt sofort auf, dass die Hersteller aus den Niederlanden auch in diesem Jahr wieder zahlreich vertreten sind, so dass kaum noch ein Unterschied zwischen der Anzahl der niederländischen und der belgischen Marken besteh</w:t>
      </w:r>
      <w:r>
        <w:rPr>
          <w:lang w:val="de-DE"/>
        </w:rPr>
        <w:t>t.</w:t>
      </w:r>
      <w:r w:rsidR="007608AB" w:rsidRPr="00F03037">
        <w:rPr>
          <w:lang w:val="nl-BE"/>
        </w:rPr>
        <w:t xml:space="preserve"> </w:t>
      </w:r>
      <w:r w:rsidRPr="00807BF1">
        <w:rPr>
          <w:lang w:val="de-DE"/>
        </w:rPr>
        <w:t>Am auffälligsten ist dies bei Brussels By Night (Halle 6), in Halle 8, die für ihre charmanten und stimmungsvollen Kollektionen bekannt ist, und natürlich bei 'Holland à la Carte' im Patio, der kleinen Halle, in der ausschließlich führende niederländische Marken vertreten sind.</w:t>
      </w:r>
      <w:r w:rsidR="007608AB" w:rsidRPr="00F03037">
        <w:rPr>
          <w:lang w:val="nl-BE"/>
        </w:rPr>
        <w:t xml:space="preserve"> </w:t>
      </w:r>
    </w:p>
    <w:p w14:paraId="45A553C1" w14:textId="77777777" w:rsidR="007608AB" w:rsidRPr="00B51D60" w:rsidRDefault="007608AB" w:rsidP="007608AB">
      <w:pPr>
        <w:rPr>
          <w:b/>
          <w:bCs/>
          <w:lang w:val="nl-BE"/>
        </w:rPr>
      </w:pPr>
    </w:p>
    <w:tbl>
      <w:tblPr>
        <w:tblW w:w="6040" w:type="dxa"/>
        <w:jc w:val="center"/>
        <w:tblLayout w:type="fixed"/>
        <w:tblCellMar>
          <w:left w:w="70" w:type="dxa"/>
          <w:right w:w="70" w:type="dxa"/>
        </w:tblCellMar>
        <w:tblLook w:val="04A0" w:firstRow="1" w:lastRow="0" w:firstColumn="1" w:lastColumn="0" w:noHBand="0" w:noVBand="1"/>
      </w:tblPr>
      <w:tblGrid>
        <w:gridCol w:w="2566"/>
        <w:gridCol w:w="3474"/>
      </w:tblGrid>
      <w:tr w:rsidR="00C56D1C" w:rsidRPr="00DD3B76" w14:paraId="33D9A1F8" w14:textId="77777777" w:rsidTr="00807BF1">
        <w:trPr>
          <w:jc w:val="center"/>
        </w:trPr>
        <w:tc>
          <w:tcPr>
            <w:tcW w:w="60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D20369" w14:textId="38752A5E" w:rsidR="00C56D1C" w:rsidRPr="00F03037" w:rsidRDefault="00807BF1" w:rsidP="00807BF1">
            <w:pPr>
              <w:spacing w:after="0" w:line="240" w:lineRule="auto"/>
              <w:jc w:val="center"/>
              <w:rPr>
                <w:rFonts w:ascii="Aptos Narrow" w:eastAsia="Times New Roman" w:hAnsi="Aptos Narrow" w:cs="Times New Roman"/>
                <w:b/>
                <w:bCs/>
                <w:color w:val="000000"/>
                <w:lang w:val="nl-BE" w:eastAsia="fr-BE"/>
              </w:rPr>
            </w:pPr>
            <w:r w:rsidRPr="00807BF1">
              <w:rPr>
                <w:rFonts w:ascii="Aptos Narrow" w:eastAsia="Times New Roman" w:hAnsi="Aptos Narrow" w:cs="Times New Roman"/>
                <w:b/>
                <w:bCs/>
                <w:lang w:val="de-DE" w:eastAsia="fr-BE"/>
              </w:rPr>
              <w:t>2024 – Auf der Brüsseler Möbelmesse vertretene Marken</w:t>
            </w:r>
          </w:p>
        </w:tc>
      </w:tr>
      <w:tr w:rsidR="00C56D1C" w:rsidRPr="00C56D1C" w14:paraId="67746EB7" w14:textId="77777777" w:rsidTr="00807BF1">
        <w:trPr>
          <w:jc w:val="center"/>
        </w:trPr>
        <w:tc>
          <w:tcPr>
            <w:tcW w:w="2566" w:type="dxa"/>
            <w:tcBorders>
              <w:top w:val="nil"/>
              <w:left w:val="single" w:sz="4" w:space="0" w:color="auto"/>
              <w:bottom w:val="single" w:sz="4" w:space="0" w:color="auto"/>
              <w:right w:val="single" w:sz="4" w:space="0" w:color="auto"/>
            </w:tcBorders>
            <w:shd w:val="clear" w:color="auto" w:fill="auto"/>
            <w:noWrap/>
            <w:vAlign w:val="center"/>
            <w:hideMark/>
          </w:tcPr>
          <w:p w14:paraId="3F27843B" w14:textId="764EEB29" w:rsidR="00C56D1C" w:rsidRPr="00F03037" w:rsidRDefault="00807BF1" w:rsidP="00C56D1C">
            <w:pPr>
              <w:spacing w:after="0" w:line="240" w:lineRule="auto"/>
              <w:jc w:val="center"/>
              <w:rPr>
                <w:rFonts w:ascii="Aptos Narrow" w:eastAsia="Times New Roman" w:hAnsi="Aptos Narrow" w:cs="Times New Roman"/>
                <w:i/>
                <w:iCs/>
                <w:color w:val="000000"/>
                <w:lang w:eastAsia="fr-BE"/>
              </w:rPr>
            </w:pPr>
            <w:r w:rsidRPr="00807BF1">
              <w:rPr>
                <w:rFonts w:ascii="Aptos Narrow" w:eastAsia="Times New Roman" w:hAnsi="Aptos Narrow" w:cs="Times New Roman"/>
                <w:i/>
                <w:iCs/>
                <w:lang w:val="de-DE" w:eastAsia="fr-BE"/>
              </w:rPr>
              <w:t>Land</w:t>
            </w:r>
          </w:p>
        </w:tc>
        <w:tc>
          <w:tcPr>
            <w:tcW w:w="3474" w:type="dxa"/>
            <w:tcBorders>
              <w:top w:val="nil"/>
              <w:left w:val="nil"/>
              <w:bottom w:val="single" w:sz="4" w:space="0" w:color="auto"/>
              <w:right w:val="single" w:sz="4" w:space="0" w:color="auto"/>
            </w:tcBorders>
            <w:shd w:val="clear" w:color="auto" w:fill="auto"/>
            <w:noWrap/>
            <w:vAlign w:val="center"/>
            <w:hideMark/>
          </w:tcPr>
          <w:p w14:paraId="6A089CCE" w14:textId="41638E02" w:rsidR="00C56D1C" w:rsidRPr="00F03037" w:rsidRDefault="00807BF1" w:rsidP="00C56D1C">
            <w:pPr>
              <w:spacing w:after="0" w:line="240" w:lineRule="auto"/>
              <w:jc w:val="center"/>
              <w:rPr>
                <w:rFonts w:ascii="Aptos Narrow" w:eastAsia="Times New Roman" w:hAnsi="Aptos Narrow" w:cs="Times New Roman"/>
                <w:i/>
                <w:iCs/>
                <w:color w:val="000000"/>
                <w:lang w:eastAsia="fr-BE"/>
              </w:rPr>
            </w:pPr>
            <w:r w:rsidRPr="00807BF1">
              <w:rPr>
                <w:rFonts w:ascii="Aptos Narrow" w:eastAsia="Times New Roman" w:hAnsi="Aptos Narrow" w:cs="Times New Roman"/>
                <w:i/>
                <w:iCs/>
                <w:lang w:val="de-DE" w:eastAsia="fr-BE"/>
              </w:rPr>
              <w:t>#vertretene Marken</w:t>
            </w:r>
          </w:p>
        </w:tc>
      </w:tr>
      <w:tr w:rsidR="00C56D1C" w:rsidRPr="00C56D1C" w14:paraId="1AA3563A" w14:textId="77777777" w:rsidTr="00807BF1">
        <w:trPr>
          <w:jc w:val="center"/>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14:paraId="78C84130" w14:textId="2D066768" w:rsidR="00C56D1C" w:rsidRPr="00F03037" w:rsidRDefault="00807BF1" w:rsidP="00C56D1C">
            <w:pPr>
              <w:spacing w:after="0" w:line="240" w:lineRule="auto"/>
              <w:rPr>
                <w:rFonts w:ascii="Aptos Narrow" w:eastAsia="Times New Roman" w:hAnsi="Aptos Narrow" w:cs="Times New Roman"/>
                <w:color w:val="000000"/>
                <w:lang w:eastAsia="fr-BE"/>
              </w:rPr>
            </w:pPr>
            <w:r w:rsidRPr="00807BF1">
              <w:rPr>
                <w:rFonts w:ascii="Aptos Narrow" w:eastAsia="Times New Roman" w:hAnsi="Aptos Narrow" w:cs="Times New Roman"/>
                <w:lang w:val="de-DE" w:eastAsia="fr-BE"/>
              </w:rPr>
              <w:t>Belgien</w:t>
            </w:r>
          </w:p>
        </w:tc>
        <w:tc>
          <w:tcPr>
            <w:tcW w:w="3474" w:type="dxa"/>
            <w:tcBorders>
              <w:top w:val="nil"/>
              <w:left w:val="nil"/>
              <w:bottom w:val="single" w:sz="4" w:space="0" w:color="auto"/>
              <w:right w:val="single" w:sz="4" w:space="0" w:color="auto"/>
            </w:tcBorders>
            <w:shd w:val="clear" w:color="auto" w:fill="auto"/>
            <w:noWrap/>
            <w:vAlign w:val="bottom"/>
            <w:hideMark/>
          </w:tcPr>
          <w:p w14:paraId="3579BF0E" w14:textId="77777777" w:rsidR="00C56D1C" w:rsidRPr="00C56D1C" w:rsidRDefault="00C56D1C" w:rsidP="00C56D1C">
            <w:pPr>
              <w:spacing w:after="0" w:line="240" w:lineRule="auto"/>
              <w:jc w:val="center"/>
              <w:rPr>
                <w:rFonts w:ascii="Aptos Narrow" w:eastAsia="Times New Roman" w:hAnsi="Aptos Narrow" w:cs="Times New Roman"/>
                <w:color w:val="000000"/>
                <w:lang w:eastAsia="fr-BE"/>
              </w:rPr>
            </w:pPr>
            <w:r w:rsidRPr="00C56D1C">
              <w:rPr>
                <w:rFonts w:ascii="Aptos Narrow" w:eastAsia="Times New Roman" w:hAnsi="Aptos Narrow" w:cs="Times New Roman"/>
                <w:color w:val="000000"/>
                <w:lang w:eastAsia="fr-BE"/>
              </w:rPr>
              <w:t>81</w:t>
            </w:r>
          </w:p>
        </w:tc>
      </w:tr>
      <w:tr w:rsidR="00C56D1C" w:rsidRPr="00C56D1C" w14:paraId="7207520A" w14:textId="77777777" w:rsidTr="00807BF1">
        <w:trPr>
          <w:jc w:val="center"/>
        </w:trPr>
        <w:tc>
          <w:tcPr>
            <w:tcW w:w="2566" w:type="dxa"/>
            <w:tcBorders>
              <w:top w:val="nil"/>
              <w:left w:val="single" w:sz="4" w:space="0" w:color="auto"/>
              <w:bottom w:val="single" w:sz="4" w:space="0" w:color="auto"/>
              <w:right w:val="single" w:sz="4" w:space="0" w:color="auto"/>
            </w:tcBorders>
            <w:shd w:val="clear" w:color="000000" w:fill="F2F2F2"/>
            <w:noWrap/>
            <w:vAlign w:val="bottom"/>
            <w:hideMark/>
          </w:tcPr>
          <w:p w14:paraId="072FB642" w14:textId="19893CFF" w:rsidR="00C56D1C" w:rsidRPr="00F03037" w:rsidRDefault="00807BF1" w:rsidP="00C56D1C">
            <w:pPr>
              <w:spacing w:after="0" w:line="240" w:lineRule="auto"/>
              <w:rPr>
                <w:rFonts w:ascii="Aptos Narrow" w:eastAsia="Times New Roman" w:hAnsi="Aptos Narrow" w:cs="Times New Roman"/>
                <w:color w:val="000000"/>
                <w:lang w:eastAsia="fr-BE"/>
              </w:rPr>
            </w:pPr>
            <w:r w:rsidRPr="00807BF1">
              <w:rPr>
                <w:rFonts w:ascii="Aptos Narrow" w:eastAsia="Times New Roman" w:hAnsi="Aptos Narrow" w:cs="Times New Roman"/>
                <w:lang w:val="de-DE" w:eastAsia="fr-BE"/>
              </w:rPr>
              <w:t>Niederlande</w:t>
            </w:r>
          </w:p>
        </w:tc>
        <w:tc>
          <w:tcPr>
            <w:tcW w:w="3474" w:type="dxa"/>
            <w:tcBorders>
              <w:top w:val="nil"/>
              <w:left w:val="nil"/>
              <w:bottom w:val="single" w:sz="4" w:space="0" w:color="auto"/>
              <w:right w:val="single" w:sz="4" w:space="0" w:color="auto"/>
            </w:tcBorders>
            <w:shd w:val="clear" w:color="000000" w:fill="F2F2F2"/>
            <w:noWrap/>
            <w:vAlign w:val="bottom"/>
            <w:hideMark/>
          </w:tcPr>
          <w:p w14:paraId="4C6FA485" w14:textId="77777777" w:rsidR="00C56D1C" w:rsidRPr="00C56D1C" w:rsidRDefault="00C56D1C" w:rsidP="00C56D1C">
            <w:pPr>
              <w:spacing w:after="0" w:line="240" w:lineRule="auto"/>
              <w:jc w:val="center"/>
              <w:rPr>
                <w:rFonts w:ascii="Aptos Narrow" w:eastAsia="Times New Roman" w:hAnsi="Aptos Narrow" w:cs="Times New Roman"/>
                <w:color w:val="000000"/>
                <w:lang w:eastAsia="fr-BE"/>
              </w:rPr>
            </w:pPr>
            <w:r w:rsidRPr="00C56D1C">
              <w:rPr>
                <w:rFonts w:ascii="Aptos Narrow" w:eastAsia="Times New Roman" w:hAnsi="Aptos Narrow" w:cs="Times New Roman"/>
                <w:color w:val="000000"/>
                <w:lang w:eastAsia="fr-BE"/>
              </w:rPr>
              <w:t>70</w:t>
            </w:r>
          </w:p>
        </w:tc>
      </w:tr>
      <w:tr w:rsidR="00C56D1C" w:rsidRPr="00C56D1C" w14:paraId="680DDCE0" w14:textId="77777777" w:rsidTr="00807BF1">
        <w:trPr>
          <w:jc w:val="center"/>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14:paraId="1DE32DAA" w14:textId="30D63FFD" w:rsidR="00C56D1C" w:rsidRPr="00F03037" w:rsidRDefault="00807BF1" w:rsidP="00C56D1C">
            <w:pPr>
              <w:spacing w:after="0" w:line="240" w:lineRule="auto"/>
              <w:rPr>
                <w:rFonts w:ascii="Aptos Narrow" w:eastAsia="Times New Roman" w:hAnsi="Aptos Narrow" w:cs="Times New Roman"/>
                <w:color w:val="000000"/>
                <w:lang w:eastAsia="fr-BE"/>
              </w:rPr>
            </w:pPr>
            <w:r w:rsidRPr="00807BF1">
              <w:rPr>
                <w:rFonts w:ascii="Aptos Narrow" w:eastAsia="Times New Roman" w:hAnsi="Aptos Narrow" w:cs="Times New Roman"/>
                <w:lang w:val="de-DE" w:eastAsia="fr-BE"/>
              </w:rPr>
              <w:t>Deutschland</w:t>
            </w:r>
          </w:p>
        </w:tc>
        <w:tc>
          <w:tcPr>
            <w:tcW w:w="3474" w:type="dxa"/>
            <w:tcBorders>
              <w:top w:val="nil"/>
              <w:left w:val="nil"/>
              <w:bottom w:val="single" w:sz="4" w:space="0" w:color="auto"/>
              <w:right w:val="single" w:sz="4" w:space="0" w:color="auto"/>
            </w:tcBorders>
            <w:shd w:val="clear" w:color="auto" w:fill="auto"/>
            <w:noWrap/>
            <w:vAlign w:val="bottom"/>
            <w:hideMark/>
          </w:tcPr>
          <w:p w14:paraId="2F5B991E" w14:textId="77777777" w:rsidR="00C56D1C" w:rsidRPr="00C56D1C" w:rsidRDefault="00C56D1C" w:rsidP="00C56D1C">
            <w:pPr>
              <w:spacing w:after="0" w:line="240" w:lineRule="auto"/>
              <w:jc w:val="center"/>
              <w:rPr>
                <w:rFonts w:ascii="Aptos Narrow" w:eastAsia="Times New Roman" w:hAnsi="Aptos Narrow" w:cs="Times New Roman"/>
                <w:color w:val="000000"/>
                <w:lang w:eastAsia="fr-BE"/>
              </w:rPr>
            </w:pPr>
            <w:r w:rsidRPr="00C56D1C">
              <w:rPr>
                <w:rFonts w:ascii="Aptos Narrow" w:eastAsia="Times New Roman" w:hAnsi="Aptos Narrow" w:cs="Times New Roman"/>
                <w:color w:val="000000"/>
                <w:lang w:eastAsia="fr-BE"/>
              </w:rPr>
              <w:t>13</w:t>
            </w:r>
          </w:p>
        </w:tc>
      </w:tr>
      <w:tr w:rsidR="00C56D1C" w:rsidRPr="00C56D1C" w14:paraId="28E30AAC" w14:textId="77777777" w:rsidTr="00807BF1">
        <w:trPr>
          <w:jc w:val="center"/>
        </w:trPr>
        <w:tc>
          <w:tcPr>
            <w:tcW w:w="2566" w:type="dxa"/>
            <w:tcBorders>
              <w:top w:val="nil"/>
              <w:left w:val="single" w:sz="4" w:space="0" w:color="auto"/>
              <w:bottom w:val="single" w:sz="4" w:space="0" w:color="auto"/>
              <w:right w:val="single" w:sz="4" w:space="0" w:color="auto"/>
            </w:tcBorders>
            <w:shd w:val="clear" w:color="000000" w:fill="F2F2F2"/>
            <w:noWrap/>
            <w:vAlign w:val="bottom"/>
            <w:hideMark/>
          </w:tcPr>
          <w:p w14:paraId="76DF7A6D" w14:textId="08DCE13B" w:rsidR="00C56D1C" w:rsidRPr="00F03037" w:rsidRDefault="00807BF1" w:rsidP="00807BF1">
            <w:pPr>
              <w:spacing w:after="0" w:line="240" w:lineRule="auto"/>
              <w:rPr>
                <w:rFonts w:ascii="Aptos Narrow" w:eastAsia="Times New Roman" w:hAnsi="Aptos Narrow" w:cs="Times New Roman"/>
                <w:color w:val="000000"/>
                <w:lang w:eastAsia="fr-BE"/>
              </w:rPr>
            </w:pPr>
            <w:r w:rsidRPr="003B5E10">
              <w:rPr>
                <w:rFonts w:ascii="Aptos Narrow" w:eastAsia="Times New Roman" w:hAnsi="Aptos Narrow" w:cs="Times New Roman"/>
                <w:lang w:val="de-DE" w:eastAsia="fr-BE"/>
              </w:rPr>
              <w:t>Polen</w:t>
            </w:r>
          </w:p>
        </w:tc>
        <w:tc>
          <w:tcPr>
            <w:tcW w:w="3474" w:type="dxa"/>
            <w:tcBorders>
              <w:top w:val="nil"/>
              <w:left w:val="nil"/>
              <w:bottom w:val="single" w:sz="4" w:space="0" w:color="auto"/>
              <w:right w:val="single" w:sz="4" w:space="0" w:color="auto"/>
            </w:tcBorders>
            <w:shd w:val="clear" w:color="000000" w:fill="F2F2F2"/>
            <w:noWrap/>
            <w:vAlign w:val="bottom"/>
            <w:hideMark/>
          </w:tcPr>
          <w:p w14:paraId="7668ADDE" w14:textId="77777777" w:rsidR="00C56D1C" w:rsidRPr="00C56D1C" w:rsidRDefault="00C56D1C" w:rsidP="00C56D1C">
            <w:pPr>
              <w:spacing w:after="0" w:line="240" w:lineRule="auto"/>
              <w:jc w:val="center"/>
              <w:rPr>
                <w:rFonts w:ascii="Aptos Narrow" w:eastAsia="Times New Roman" w:hAnsi="Aptos Narrow" w:cs="Times New Roman"/>
                <w:color w:val="000000"/>
                <w:lang w:eastAsia="fr-BE"/>
              </w:rPr>
            </w:pPr>
            <w:r w:rsidRPr="00C56D1C">
              <w:rPr>
                <w:rFonts w:ascii="Aptos Narrow" w:eastAsia="Times New Roman" w:hAnsi="Aptos Narrow" w:cs="Times New Roman"/>
                <w:color w:val="000000"/>
                <w:lang w:eastAsia="fr-BE"/>
              </w:rPr>
              <w:t>10</w:t>
            </w:r>
          </w:p>
        </w:tc>
      </w:tr>
      <w:tr w:rsidR="00C56D1C" w:rsidRPr="00C56D1C" w14:paraId="069356D8" w14:textId="77777777" w:rsidTr="00807BF1">
        <w:trPr>
          <w:jc w:val="center"/>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14:paraId="291D270D" w14:textId="0B8421C2" w:rsidR="00C56D1C" w:rsidRPr="00F03037" w:rsidRDefault="00807BF1" w:rsidP="00807BF1">
            <w:pPr>
              <w:spacing w:after="0" w:line="240" w:lineRule="auto"/>
              <w:rPr>
                <w:rFonts w:ascii="Aptos Narrow" w:eastAsia="Times New Roman" w:hAnsi="Aptos Narrow" w:cs="Times New Roman"/>
                <w:color w:val="000000"/>
                <w:lang w:eastAsia="fr-BE"/>
              </w:rPr>
            </w:pPr>
            <w:r w:rsidRPr="003B5E10">
              <w:rPr>
                <w:rFonts w:ascii="Aptos Narrow" w:eastAsia="Times New Roman" w:hAnsi="Aptos Narrow" w:cs="Times New Roman"/>
                <w:lang w:val="de-DE" w:eastAsia="fr-BE"/>
              </w:rPr>
              <w:t>Ukraine</w:t>
            </w:r>
          </w:p>
        </w:tc>
        <w:tc>
          <w:tcPr>
            <w:tcW w:w="3474" w:type="dxa"/>
            <w:tcBorders>
              <w:top w:val="nil"/>
              <w:left w:val="nil"/>
              <w:bottom w:val="single" w:sz="4" w:space="0" w:color="auto"/>
              <w:right w:val="single" w:sz="4" w:space="0" w:color="auto"/>
            </w:tcBorders>
            <w:shd w:val="clear" w:color="auto" w:fill="auto"/>
            <w:noWrap/>
            <w:vAlign w:val="bottom"/>
            <w:hideMark/>
          </w:tcPr>
          <w:p w14:paraId="5E6FEAE6" w14:textId="77777777" w:rsidR="00C56D1C" w:rsidRPr="00C56D1C" w:rsidRDefault="00C56D1C" w:rsidP="00C56D1C">
            <w:pPr>
              <w:spacing w:after="0" w:line="240" w:lineRule="auto"/>
              <w:jc w:val="center"/>
              <w:rPr>
                <w:rFonts w:ascii="Aptos Narrow" w:eastAsia="Times New Roman" w:hAnsi="Aptos Narrow" w:cs="Times New Roman"/>
                <w:color w:val="000000"/>
                <w:lang w:eastAsia="fr-BE"/>
              </w:rPr>
            </w:pPr>
            <w:r w:rsidRPr="00C56D1C">
              <w:rPr>
                <w:rFonts w:ascii="Aptos Narrow" w:eastAsia="Times New Roman" w:hAnsi="Aptos Narrow" w:cs="Times New Roman"/>
                <w:color w:val="000000"/>
                <w:lang w:eastAsia="fr-BE"/>
              </w:rPr>
              <w:t>10</w:t>
            </w:r>
          </w:p>
        </w:tc>
      </w:tr>
      <w:tr w:rsidR="00C56D1C" w:rsidRPr="00C56D1C" w14:paraId="202A2DE7" w14:textId="77777777" w:rsidTr="00807BF1">
        <w:trPr>
          <w:jc w:val="center"/>
        </w:trPr>
        <w:tc>
          <w:tcPr>
            <w:tcW w:w="2566" w:type="dxa"/>
            <w:tcBorders>
              <w:top w:val="nil"/>
              <w:left w:val="single" w:sz="4" w:space="0" w:color="auto"/>
              <w:bottom w:val="single" w:sz="4" w:space="0" w:color="auto"/>
              <w:right w:val="single" w:sz="4" w:space="0" w:color="auto"/>
            </w:tcBorders>
            <w:shd w:val="clear" w:color="000000" w:fill="F2F2F2"/>
            <w:noWrap/>
            <w:vAlign w:val="bottom"/>
            <w:hideMark/>
          </w:tcPr>
          <w:p w14:paraId="5D77556A" w14:textId="64D623DE" w:rsidR="00C56D1C" w:rsidRPr="00F03037" w:rsidRDefault="00807BF1" w:rsidP="00C56D1C">
            <w:pPr>
              <w:spacing w:after="0" w:line="240" w:lineRule="auto"/>
              <w:rPr>
                <w:rFonts w:ascii="Aptos Narrow" w:eastAsia="Times New Roman" w:hAnsi="Aptos Narrow" w:cs="Times New Roman"/>
                <w:color w:val="000000"/>
                <w:lang w:eastAsia="fr-BE"/>
              </w:rPr>
            </w:pPr>
            <w:r w:rsidRPr="00807BF1">
              <w:rPr>
                <w:rFonts w:ascii="Aptos Narrow" w:eastAsia="Times New Roman" w:hAnsi="Aptos Narrow" w:cs="Times New Roman"/>
                <w:lang w:val="de-DE" w:eastAsia="fr-BE"/>
              </w:rPr>
              <w:t>Frankreich</w:t>
            </w:r>
          </w:p>
        </w:tc>
        <w:tc>
          <w:tcPr>
            <w:tcW w:w="3474" w:type="dxa"/>
            <w:tcBorders>
              <w:top w:val="nil"/>
              <w:left w:val="nil"/>
              <w:bottom w:val="single" w:sz="4" w:space="0" w:color="auto"/>
              <w:right w:val="single" w:sz="4" w:space="0" w:color="auto"/>
            </w:tcBorders>
            <w:shd w:val="clear" w:color="000000" w:fill="F2F2F2"/>
            <w:noWrap/>
            <w:vAlign w:val="bottom"/>
            <w:hideMark/>
          </w:tcPr>
          <w:p w14:paraId="46149F25" w14:textId="77777777" w:rsidR="00C56D1C" w:rsidRPr="00C56D1C" w:rsidRDefault="00C56D1C" w:rsidP="00C56D1C">
            <w:pPr>
              <w:spacing w:after="0" w:line="240" w:lineRule="auto"/>
              <w:jc w:val="center"/>
              <w:rPr>
                <w:rFonts w:ascii="Aptos Narrow" w:eastAsia="Times New Roman" w:hAnsi="Aptos Narrow" w:cs="Times New Roman"/>
                <w:color w:val="000000"/>
                <w:lang w:eastAsia="fr-BE"/>
              </w:rPr>
            </w:pPr>
            <w:r w:rsidRPr="00C56D1C">
              <w:rPr>
                <w:rFonts w:ascii="Aptos Narrow" w:eastAsia="Times New Roman" w:hAnsi="Aptos Narrow" w:cs="Times New Roman"/>
                <w:color w:val="000000"/>
                <w:lang w:eastAsia="fr-BE"/>
              </w:rPr>
              <w:t>8</w:t>
            </w:r>
          </w:p>
        </w:tc>
      </w:tr>
      <w:tr w:rsidR="00C56D1C" w:rsidRPr="00C56D1C" w14:paraId="712BC436" w14:textId="77777777" w:rsidTr="00807BF1">
        <w:trPr>
          <w:jc w:val="center"/>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14:paraId="0D2FBA22" w14:textId="383DE0B0" w:rsidR="00C56D1C" w:rsidRPr="00F03037" w:rsidRDefault="00807BF1" w:rsidP="00C56D1C">
            <w:pPr>
              <w:spacing w:after="0" w:line="240" w:lineRule="auto"/>
              <w:rPr>
                <w:rFonts w:ascii="Aptos Narrow" w:eastAsia="Times New Roman" w:hAnsi="Aptos Narrow" w:cs="Times New Roman"/>
                <w:color w:val="000000"/>
                <w:lang w:eastAsia="fr-BE"/>
              </w:rPr>
            </w:pPr>
            <w:r w:rsidRPr="00807BF1">
              <w:rPr>
                <w:rFonts w:ascii="Aptos Narrow" w:eastAsia="Times New Roman" w:hAnsi="Aptos Narrow" w:cs="Times New Roman"/>
                <w:lang w:val="de-DE" w:eastAsia="fr-BE"/>
              </w:rPr>
              <w:t>Litauen</w:t>
            </w:r>
          </w:p>
        </w:tc>
        <w:tc>
          <w:tcPr>
            <w:tcW w:w="3474" w:type="dxa"/>
            <w:tcBorders>
              <w:top w:val="nil"/>
              <w:left w:val="nil"/>
              <w:bottom w:val="single" w:sz="4" w:space="0" w:color="auto"/>
              <w:right w:val="single" w:sz="4" w:space="0" w:color="auto"/>
            </w:tcBorders>
            <w:shd w:val="clear" w:color="auto" w:fill="auto"/>
            <w:noWrap/>
            <w:vAlign w:val="bottom"/>
            <w:hideMark/>
          </w:tcPr>
          <w:p w14:paraId="7B045B34" w14:textId="77777777" w:rsidR="00C56D1C" w:rsidRPr="00C56D1C" w:rsidRDefault="00C56D1C" w:rsidP="00C56D1C">
            <w:pPr>
              <w:spacing w:after="0" w:line="240" w:lineRule="auto"/>
              <w:jc w:val="center"/>
              <w:rPr>
                <w:rFonts w:ascii="Aptos Narrow" w:eastAsia="Times New Roman" w:hAnsi="Aptos Narrow" w:cs="Times New Roman"/>
                <w:color w:val="000000"/>
                <w:lang w:eastAsia="fr-BE"/>
              </w:rPr>
            </w:pPr>
            <w:r w:rsidRPr="00C56D1C">
              <w:rPr>
                <w:rFonts w:ascii="Aptos Narrow" w:eastAsia="Times New Roman" w:hAnsi="Aptos Narrow" w:cs="Times New Roman"/>
                <w:color w:val="000000"/>
                <w:lang w:eastAsia="fr-BE"/>
              </w:rPr>
              <w:t>6</w:t>
            </w:r>
          </w:p>
        </w:tc>
      </w:tr>
      <w:tr w:rsidR="00C56D1C" w:rsidRPr="00C56D1C" w14:paraId="5B710C9F" w14:textId="77777777" w:rsidTr="00807BF1">
        <w:trPr>
          <w:jc w:val="center"/>
        </w:trPr>
        <w:tc>
          <w:tcPr>
            <w:tcW w:w="2566" w:type="dxa"/>
            <w:tcBorders>
              <w:top w:val="nil"/>
              <w:left w:val="single" w:sz="4" w:space="0" w:color="auto"/>
              <w:bottom w:val="single" w:sz="4" w:space="0" w:color="auto"/>
              <w:right w:val="single" w:sz="4" w:space="0" w:color="auto"/>
            </w:tcBorders>
            <w:shd w:val="clear" w:color="000000" w:fill="F2F2F2"/>
            <w:noWrap/>
            <w:vAlign w:val="bottom"/>
            <w:hideMark/>
          </w:tcPr>
          <w:p w14:paraId="3713423B" w14:textId="43760636" w:rsidR="00C56D1C" w:rsidRPr="00F03037" w:rsidRDefault="00807BF1" w:rsidP="00C56D1C">
            <w:pPr>
              <w:spacing w:after="0" w:line="240" w:lineRule="auto"/>
              <w:rPr>
                <w:rFonts w:ascii="Aptos Narrow" w:eastAsia="Times New Roman" w:hAnsi="Aptos Narrow" w:cs="Times New Roman"/>
                <w:color w:val="000000"/>
                <w:lang w:eastAsia="fr-BE"/>
              </w:rPr>
            </w:pPr>
            <w:r w:rsidRPr="00807BF1">
              <w:rPr>
                <w:rFonts w:ascii="Aptos Narrow" w:eastAsia="Times New Roman" w:hAnsi="Aptos Narrow" w:cs="Times New Roman"/>
                <w:lang w:val="de-DE" w:eastAsia="fr-BE"/>
              </w:rPr>
              <w:t>Italien</w:t>
            </w:r>
          </w:p>
        </w:tc>
        <w:tc>
          <w:tcPr>
            <w:tcW w:w="3474" w:type="dxa"/>
            <w:tcBorders>
              <w:top w:val="nil"/>
              <w:left w:val="nil"/>
              <w:bottom w:val="single" w:sz="4" w:space="0" w:color="auto"/>
              <w:right w:val="single" w:sz="4" w:space="0" w:color="auto"/>
            </w:tcBorders>
            <w:shd w:val="clear" w:color="000000" w:fill="F2F2F2"/>
            <w:noWrap/>
            <w:vAlign w:val="bottom"/>
            <w:hideMark/>
          </w:tcPr>
          <w:p w14:paraId="78E09996" w14:textId="77777777" w:rsidR="00C56D1C" w:rsidRPr="00C56D1C" w:rsidRDefault="00C56D1C" w:rsidP="00C56D1C">
            <w:pPr>
              <w:spacing w:after="0" w:line="240" w:lineRule="auto"/>
              <w:jc w:val="center"/>
              <w:rPr>
                <w:rFonts w:ascii="Aptos Narrow" w:eastAsia="Times New Roman" w:hAnsi="Aptos Narrow" w:cs="Times New Roman"/>
                <w:color w:val="000000"/>
                <w:lang w:eastAsia="fr-BE"/>
              </w:rPr>
            </w:pPr>
            <w:r w:rsidRPr="00C56D1C">
              <w:rPr>
                <w:rFonts w:ascii="Aptos Narrow" w:eastAsia="Times New Roman" w:hAnsi="Aptos Narrow" w:cs="Times New Roman"/>
                <w:color w:val="000000"/>
                <w:lang w:eastAsia="fr-BE"/>
              </w:rPr>
              <w:t>5</w:t>
            </w:r>
          </w:p>
        </w:tc>
      </w:tr>
      <w:tr w:rsidR="00C56D1C" w:rsidRPr="00C56D1C" w14:paraId="10AF958C" w14:textId="77777777" w:rsidTr="00807BF1">
        <w:trPr>
          <w:jc w:val="center"/>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14:paraId="1AFE16CA" w14:textId="5AE24439" w:rsidR="00C56D1C" w:rsidRPr="00F03037" w:rsidRDefault="00807BF1" w:rsidP="00807BF1">
            <w:pPr>
              <w:spacing w:after="0" w:line="240" w:lineRule="auto"/>
              <w:rPr>
                <w:rFonts w:ascii="Aptos Narrow" w:eastAsia="Times New Roman" w:hAnsi="Aptos Narrow" w:cs="Times New Roman"/>
                <w:color w:val="000000"/>
                <w:lang w:eastAsia="fr-BE"/>
              </w:rPr>
            </w:pPr>
            <w:r w:rsidRPr="00807BF1">
              <w:rPr>
                <w:rFonts w:ascii="Aptos Narrow" w:eastAsia="Times New Roman" w:hAnsi="Aptos Narrow" w:cs="Times New Roman"/>
                <w:lang w:val="de-DE" w:eastAsia="fr-BE"/>
              </w:rPr>
              <w:t>Dänemark</w:t>
            </w:r>
          </w:p>
        </w:tc>
        <w:tc>
          <w:tcPr>
            <w:tcW w:w="3474" w:type="dxa"/>
            <w:tcBorders>
              <w:top w:val="nil"/>
              <w:left w:val="nil"/>
              <w:bottom w:val="single" w:sz="4" w:space="0" w:color="auto"/>
              <w:right w:val="single" w:sz="4" w:space="0" w:color="auto"/>
            </w:tcBorders>
            <w:shd w:val="clear" w:color="auto" w:fill="auto"/>
            <w:noWrap/>
            <w:vAlign w:val="bottom"/>
            <w:hideMark/>
          </w:tcPr>
          <w:p w14:paraId="20BD13DC" w14:textId="77777777" w:rsidR="00C56D1C" w:rsidRPr="00C56D1C" w:rsidRDefault="00C56D1C" w:rsidP="00C56D1C">
            <w:pPr>
              <w:spacing w:after="0" w:line="240" w:lineRule="auto"/>
              <w:jc w:val="center"/>
              <w:rPr>
                <w:rFonts w:ascii="Aptos Narrow" w:eastAsia="Times New Roman" w:hAnsi="Aptos Narrow" w:cs="Times New Roman"/>
                <w:color w:val="000000"/>
                <w:lang w:eastAsia="fr-BE"/>
              </w:rPr>
            </w:pPr>
            <w:r w:rsidRPr="00C56D1C">
              <w:rPr>
                <w:rFonts w:ascii="Aptos Narrow" w:eastAsia="Times New Roman" w:hAnsi="Aptos Narrow" w:cs="Times New Roman"/>
                <w:color w:val="000000"/>
                <w:lang w:eastAsia="fr-BE"/>
              </w:rPr>
              <w:t>4</w:t>
            </w:r>
          </w:p>
        </w:tc>
      </w:tr>
      <w:tr w:rsidR="00C56D1C" w:rsidRPr="00C56D1C" w14:paraId="5091F01C" w14:textId="77777777" w:rsidTr="00807BF1">
        <w:trPr>
          <w:jc w:val="center"/>
        </w:trPr>
        <w:tc>
          <w:tcPr>
            <w:tcW w:w="2566" w:type="dxa"/>
            <w:tcBorders>
              <w:top w:val="nil"/>
              <w:left w:val="single" w:sz="4" w:space="0" w:color="auto"/>
              <w:bottom w:val="single" w:sz="4" w:space="0" w:color="auto"/>
              <w:right w:val="single" w:sz="4" w:space="0" w:color="auto"/>
            </w:tcBorders>
            <w:shd w:val="clear" w:color="000000" w:fill="F2F2F2"/>
            <w:noWrap/>
            <w:vAlign w:val="bottom"/>
            <w:hideMark/>
          </w:tcPr>
          <w:p w14:paraId="3B08DF4C" w14:textId="43E80C88" w:rsidR="00C56D1C" w:rsidRPr="00F03037" w:rsidRDefault="00807BF1" w:rsidP="00807BF1">
            <w:pPr>
              <w:spacing w:after="0" w:line="240" w:lineRule="auto"/>
              <w:rPr>
                <w:rFonts w:ascii="Aptos Narrow" w:eastAsia="Times New Roman" w:hAnsi="Aptos Narrow" w:cs="Times New Roman"/>
                <w:color w:val="000000"/>
                <w:lang w:eastAsia="fr-BE"/>
              </w:rPr>
            </w:pPr>
            <w:r w:rsidRPr="003B5E10">
              <w:rPr>
                <w:rFonts w:ascii="Aptos Narrow" w:eastAsia="Times New Roman" w:hAnsi="Aptos Narrow" w:cs="Times New Roman"/>
                <w:lang w:val="de-DE" w:eastAsia="fr-BE"/>
              </w:rPr>
              <w:t>Türkei</w:t>
            </w:r>
          </w:p>
        </w:tc>
        <w:tc>
          <w:tcPr>
            <w:tcW w:w="3474" w:type="dxa"/>
            <w:tcBorders>
              <w:top w:val="nil"/>
              <w:left w:val="nil"/>
              <w:bottom w:val="single" w:sz="4" w:space="0" w:color="auto"/>
              <w:right w:val="single" w:sz="4" w:space="0" w:color="auto"/>
            </w:tcBorders>
            <w:shd w:val="clear" w:color="000000" w:fill="F2F2F2"/>
            <w:noWrap/>
            <w:vAlign w:val="bottom"/>
            <w:hideMark/>
          </w:tcPr>
          <w:p w14:paraId="5E6B2C5E" w14:textId="77777777" w:rsidR="00C56D1C" w:rsidRPr="00C56D1C" w:rsidRDefault="00C56D1C" w:rsidP="00C56D1C">
            <w:pPr>
              <w:spacing w:after="0" w:line="240" w:lineRule="auto"/>
              <w:jc w:val="center"/>
              <w:rPr>
                <w:rFonts w:ascii="Aptos Narrow" w:eastAsia="Times New Roman" w:hAnsi="Aptos Narrow" w:cs="Times New Roman"/>
                <w:color w:val="000000"/>
                <w:lang w:eastAsia="fr-BE"/>
              </w:rPr>
            </w:pPr>
            <w:r w:rsidRPr="00C56D1C">
              <w:rPr>
                <w:rFonts w:ascii="Aptos Narrow" w:eastAsia="Times New Roman" w:hAnsi="Aptos Narrow" w:cs="Times New Roman"/>
                <w:color w:val="000000"/>
                <w:lang w:eastAsia="fr-BE"/>
              </w:rPr>
              <w:t>3</w:t>
            </w:r>
          </w:p>
        </w:tc>
      </w:tr>
      <w:tr w:rsidR="00C56D1C" w:rsidRPr="00C56D1C" w14:paraId="7C50BAB1" w14:textId="77777777" w:rsidTr="00807BF1">
        <w:trPr>
          <w:jc w:val="center"/>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14:paraId="09B53379" w14:textId="7CA46A49" w:rsidR="00C56D1C" w:rsidRPr="00F03037" w:rsidRDefault="00807BF1" w:rsidP="00807BF1">
            <w:pPr>
              <w:spacing w:after="0" w:line="240" w:lineRule="auto"/>
              <w:rPr>
                <w:rFonts w:ascii="Aptos Narrow" w:eastAsia="Times New Roman" w:hAnsi="Aptos Narrow" w:cs="Times New Roman"/>
                <w:color w:val="000000"/>
                <w:lang w:eastAsia="fr-BE"/>
              </w:rPr>
            </w:pPr>
            <w:r w:rsidRPr="00807BF1">
              <w:rPr>
                <w:rFonts w:ascii="Aptos Narrow" w:eastAsia="Times New Roman" w:hAnsi="Aptos Narrow" w:cs="Times New Roman"/>
                <w:lang w:val="de-DE" w:eastAsia="fr-BE"/>
              </w:rPr>
              <w:t>Estland</w:t>
            </w:r>
          </w:p>
        </w:tc>
        <w:tc>
          <w:tcPr>
            <w:tcW w:w="3474" w:type="dxa"/>
            <w:tcBorders>
              <w:top w:val="nil"/>
              <w:left w:val="nil"/>
              <w:bottom w:val="single" w:sz="4" w:space="0" w:color="auto"/>
              <w:right w:val="single" w:sz="4" w:space="0" w:color="auto"/>
            </w:tcBorders>
            <w:shd w:val="clear" w:color="auto" w:fill="auto"/>
            <w:noWrap/>
            <w:vAlign w:val="bottom"/>
            <w:hideMark/>
          </w:tcPr>
          <w:p w14:paraId="07845F82" w14:textId="77777777" w:rsidR="00C56D1C" w:rsidRPr="00C56D1C" w:rsidRDefault="00C56D1C" w:rsidP="00C56D1C">
            <w:pPr>
              <w:spacing w:after="0" w:line="240" w:lineRule="auto"/>
              <w:jc w:val="center"/>
              <w:rPr>
                <w:rFonts w:ascii="Aptos Narrow" w:eastAsia="Times New Roman" w:hAnsi="Aptos Narrow" w:cs="Times New Roman"/>
                <w:color w:val="000000"/>
                <w:lang w:eastAsia="fr-BE"/>
              </w:rPr>
            </w:pPr>
            <w:r w:rsidRPr="00C56D1C">
              <w:rPr>
                <w:rFonts w:ascii="Aptos Narrow" w:eastAsia="Times New Roman" w:hAnsi="Aptos Narrow" w:cs="Times New Roman"/>
                <w:color w:val="000000"/>
                <w:lang w:eastAsia="fr-BE"/>
              </w:rPr>
              <w:t>2</w:t>
            </w:r>
          </w:p>
        </w:tc>
      </w:tr>
      <w:tr w:rsidR="00C56D1C" w:rsidRPr="00C56D1C" w14:paraId="41BCAC30" w14:textId="77777777" w:rsidTr="00807BF1">
        <w:trPr>
          <w:jc w:val="center"/>
        </w:trPr>
        <w:tc>
          <w:tcPr>
            <w:tcW w:w="2566" w:type="dxa"/>
            <w:tcBorders>
              <w:top w:val="nil"/>
              <w:left w:val="single" w:sz="4" w:space="0" w:color="auto"/>
              <w:bottom w:val="single" w:sz="4" w:space="0" w:color="auto"/>
              <w:right w:val="single" w:sz="4" w:space="0" w:color="auto"/>
            </w:tcBorders>
            <w:shd w:val="clear" w:color="000000" w:fill="F2F2F2"/>
            <w:noWrap/>
            <w:vAlign w:val="bottom"/>
            <w:hideMark/>
          </w:tcPr>
          <w:p w14:paraId="4017088B" w14:textId="55BA1631" w:rsidR="00C56D1C" w:rsidRPr="00F03037" w:rsidRDefault="00807BF1" w:rsidP="00807BF1">
            <w:pPr>
              <w:spacing w:after="0" w:line="240" w:lineRule="auto"/>
              <w:rPr>
                <w:rFonts w:ascii="Aptos Narrow" w:eastAsia="Times New Roman" w:hAnsi="Aptos Narrow" w:cs="Times New Roman"/>
                <w:color w:val="000000"/>
                <w:lang w:eastAsia="fr-BE"/>
              </w:rPr>
            </w:pPr>
            <w:r w:rsidRPr="003B5E10">
              <w:rPr>
                <w:rFonts w:ascii="Aptos Narrow" w:eastAsia="Times New Roman" w:hAnsi="Aptos Narrow" w:cs="Times New Roman"/>
                <w:lang w:val="de-DE" w:eastAsia="fr-BE"/>
              </w:rPr>
              <w:t>Portugal</w:t>
            </w:r>
          </w:p>
        </w:tc>
        <w:tc>
          <w:tcPr>
            <w:tcW w:w="3474" w:type="dxa"/>
            <w:tcBorders>
              <w:top w:val="nil"/>
              <w:left w:val="nil"/>
              <w:bottom w:val="single" w:sz="4" w:space="0" w:color="auto"/>
              <w:right w:val="single" w:sz="4" w:space="0" w:color="auto"/>
            </w:tcBorders>
            <w:shd w:val="clear" w:color="000000" w:fill="F2F2F2"/>
            <w:noWrap/>
            <w:vAlign w:val="bottom"/>
            <w:hideMark/>
          </w:tcPr>
          <w:p w14:paraId="4EAF9A3B" w14:textId="77777777" w:rsidR="00C56D1C" w:rsidRPr="00C56D1C" w:rsidRDefault="00C56D1C" w:rsidP="00C56D1C">
            <w:pPr>
              <w:spacing w:after="0" w:line="240" w:lineRule="auto"/>
              <w:jc w:val="center"/>
              <w:rPr>
                <w:rFonts w:ascii="Aptos Narrow" w:eastAsia="Times New Roman" w:hAnsi="Aptos Narrow" w:cs="Times New Roman"/>
                <w:color w:val="000000"/>
                <w:lang w:eastAsia="fr-BE"/>
              </w:rPr>
            </w:pPr>
            <w:r w:rsidRPr="00C56D1C">
              <w:rPr>
                <w:rFonts w:ascii="Aptos Narrow" w:eastAsia="Times New Roman" w:hAnsi="Aptos Narrow" w:cs="Times New Roman"/>
                <w:color w:val="000000"/>
                <w:lang w:eastAsia="fr-BE"/>
              </w:rPr>
              <w:t>2</w:t>
            </w:r>
          </w:p>
        </w:tc>
      </w:tr>
      <w:tr w:rsidR="00C56D1C" w:rsidRPr="00C56D1C" w14:paraId="61966418" w14:textId="77777777" w:rsidTr="00807BF1">
        <w:trPr>
          <w:jc w:val="center"/>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14:paraId="7E2696B5" w14:textId="0DEF032C" w:rsidR="00C56D1C" w:rsidRPr="00F03037" w:rsidRDefault="00807BF1" w:rsidP="00807BF1">
            <w:pPr>
              <w:spacing w:after="0" w:line="240" w:lineRule="auto"/>
              <w:rPr>
                <w:rFonts w:ascii="Aptos Narrow" w:eastAsia="Times New Roman" w:hAnsi="Aptos Narrow" w:cs="Times New Roman"/>
                <w:color w:val="000000"/>
                <w:lang w:eastAsia="fr-BE"/>
              </w:rPr>
            </w:pPr>
            <w:r w:rsidRPr="003B5E10">
              <w:rPr>
                <w:rFonts w:ascii="Aptos Narrow" w:eastAsia="Times New Roman" w:hAnsi="Aptos Narrow" w:cs="Times New Roman"/>
                <w:lang w:val="de-DE" w:eastAsia="fr-BE"/>
              </w:rPr>
              <w:t>Österreich</w:t>
            </w:r>
          </w:p>
        </w:tc>
        <w:tc>
          <w:tcPr>
            <w:tcW w:w="3474" w:type="dxa"/>
            <w:tcBorders>
              <w:top w:val="nil"/>
              <w:left w:val="nil"/>
              <w:bottom w:val="single" w:sz="4" w:space="0" w:color="auto"/>
              <w:right w:val="single" w:sz="4" w:space="0" w:color="auto"/>
            </w:tcBorders>
            <w:shd w:val="clear" w:color="auto" w:fill="auto"/>
            <w:noWrap/>
            <w:vAlign w:val="bottom"/>
            <w:hideMark/>
          </w:tcPr>
          <w:p w14:paraId="2970A5D3" w14:textId="77777777" w:rsidR="00C56D1C" w:rsidRPr="00C56D1C" w:rsidRDefault="00C56D1C" w:rsidP="00C56D1C">
            <w:pPr>
              <w:spacing w:after="0" w:line="240" w:lineRule="auto"/>
              <w:jc w:val="center"/>
              <w:rPr>
                <w:rFonts w:ascii="Aptos Narrow" w:eastAsia="Times New Roman" w:hAnsi="Aptos Narrow" w:cs="Times New Roman"/>
                <w:color w:val="000000"/>
                <w:lang w:eastAsia="fr-BE"/>
              </w:rPr>
            </w:pPr>
            <w:r w:rsidRPr="00C56D1C">
              <w:rPr>
                <w:rFonts w:ascii="Aptos Narrow" w:eastAsia="Times New Roman" w:hAnsi="Aptos Narrow" w:cs="Times New Roman"/>
                <w:color w:val="000000"/>
                <w:lang w:eastAsia="fr-BE"/>
              </w:rPr>
              <w:t>1</w:t>
            </w:r>
          </w:p>
        </w:tc>
      </w:tr>
      <w:tr w:rsidR="00C56D1C" w:rsidRPr="00C56D1C" w14:paraId="2DEB2C77" w14:textId="77777777" w:rsidTr="00807BF1">
        <w:trPr>
          <w:jc w:val="center"/>
        </w:trPr>
        <w:tc>
          <w:tcPr>
            <w:tcW w:w="2566" w:type="dxa"/>
            <w:tcBorders>
              <w:top w:val="nil"/>
              <w:left w:val="single" w:sz="4" w:space="0" w:color="auto"/>
              <w:bottom w:val="single" w:sz="4" w:space="0" w:color="auto"/>
              <w:right w:val="single" w:sz="4" w:space="0" w:color="auto"/>
            </w:tcBorders>
            <w:shd w:val="clear" w:color="000000" w:fill="F2F2F2"/>
            <w:noWrap/>
            <w:vAlign w:val="bottom"/>
            <w:hideMark/>
          </w:tcPr>
          <w:p w14:paraId="618AE1C1" w14:textId="73E35ADA" w:rsidR="00C56D1C" w:rsidRPr="00F03037" w:rsidRDefault="00807BF1" w:rsidP="00807BF1">
            <w:pPr>
              <w:spacing w:after="0" w:line="240" w:lineRule="auto"/>
              <w:rPr>
                <w:rFonts w:ascii="Aptos Narrow" w:eastAsia="Times New Roman" w:hAnsi="Aptos Narrow" w:cs="Times New Roman"/>
                <w:color w:val="000000"/>
                <w:lang w:eastAsia="fr-BE"/>
              </w:rPr>
            </w:pPr>
            <w:r w:rsidRPr="00807BF1">
              <w:rPr>
                <w:rFonts w:ascii="Aptos Narrow" w:eastAsia="Times New Roman" w:hAnsi="Aptos Narrow" w:cs="Times New Roman"/>
                <w:lang w:val="de-DE" w:eastAsia="fr-BE"/>
              </w:rPr>
              <w:t>China</w:t>
            </w:r>
          </w:p>
        </w:tc>
        <w:tc>
          <w:tcPr>
            <w:tcW w:w="3474" w:type="dxa"/>
            <w:tcBorders>
              <w:top w:val="nil"/>
              <w:left w:val="nil"/>
              <w:bottom w:val="single" w:sz="4" w:space="0" w:color="auto"/>
              <w:right w:val="single" w:sz="4" w:space="0" w:color="auto"/>
            </w:tcBorders>
            <w:shd w:val="clear" w:color="000000" w:fill="F2F2F2"/>
            <w:noWrap/>
            <w:vAlign w:val="bottom"/>
            <w:hideMark/>
          </w:tcPr>
          <w:p w14:paraId="28039EAD" w14:textId="77777777" w:rsidR="00C56D1C" w:rsidRPr="00C56D1C" w:rsidRDefault="00C56D1C" w:rsidP="00C56D1C">
            <w:pPr>
              <w:spacing w:after="0" w:line="240" w:lineRule="auto"/>
              <w:jc w:val="center"/>
              <w:rPr>
                <w:rFonts w:ascii="Aptos Narrow" w:eastAsia="Times New Roman" w:hAnsi="Aptos Narrow" w:cs="Times New Roman"/>
                <w:color w:val="000000"/>
                <w:lang w:eastAsia="fr-BE"/>
              </w:rPr>
            </w:pPr>
            <w:r w:rsidRPr="00C56D1C">
              <w:rPr>
                <w:rFonts w:ascii="Aptos Narrow" w:eastAsia="Times New Roman" w:hAnsi="Aptos Narrow" w:cs="Times New Roman"/>
                <w:color w:val="000000"/>
                <w:lang w:eastAsia="fr-BE"/>
              </w:rPr>
              <w:t>1</w:t>
            </w:r>
          </w:p>
        </w:tc>
      </w:tr>
      <w:tr w:rsidR="00C56D1C" w:rsidRPr="00C56D1C" w14:paraId="01D9AA6F" w14:textId="77777777" w:rsidTr="00807BF1">
        <w:trPr>
          <w:jc w:val="center"/>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14:paraId="32158E00" w14:textId="3D2319BC" w:rsidR="00C56D1C" w:rsidRPr="00F03037" w:rsidRDefault="00807BF1" w:rsidP="00807BF1">
            <w:pPr>
              <w:spacing w:after="0" w:line="240" w:lineRule="auto"/>
              <w:rPr>
                <w:rFonts w:ascii="Aptos Narrow" w:eastAsia="Times New Roman" w:hAnsi="Aptos Narrow" w:cs="Times New Roman"/>
                <w:color w:val="000000"/>
                <w:lang w:eastAsia="fr-BE"/>
              </w:rPr>
            </w:pPr>
            <w:r w:rsidRPr="00807BF1">
              <w:rPr>
                <w:rFonts w:ascii="Aptos Narrow" w:eastAsia="Times New Roman" w:hAnsi="Aptos Narrow" w:cs="Times New Roman"/>
                <w:lang w:val="de-DE" w:eastAsia="fr-BE"/>
              </w:rPr>
              <w:t>Ungarn</w:t>
            </w:r>
          </w:p>
        </w:tc>
        <w:tc>
          <w:tcPr>
            <w:tcW w:w="3474" w:type="dxa"/>
            <w:tcBorders>
              <w:top w:val="nil"/>
              <w:left w:val="nil"/>
              <w:bottom w:val="single" w:sz="4" w:space="0" w:color="auto"/>
              <w:right w:val="single" w:sz="4" w:space="0" w:color="auto"/>
            </w:tcBorders>
            <w:shd w:val="clear" w:color="auto" w:fill="auto"/>
            <w:noWrap/>
            <w:vAlign w:val="bottom"/>
            <w:hideMark/>
          </w:tcPr>
          <w:p w14:paraId="7FF55563" w14:textId="77777777" w:rsidR="00C56D1C" w:rsidRPr="00C56D1C" w:rsidRDefault="00C56D1C" w:rsidP="00C56D1C">
            <w:pPr>
              <w:spacing w:after="0" w:line="240" w:lineRule="auto"/>
              <w:jc w:val="center"/>
              <w:rPr>
                <w:rFonts w:ascii="Aptos Narrow" w:eastAsia="Times New Roman" w:hAnsi="Aptos Narrow" w:cs="Times New Roman"/>
                <w:color w:val="000000"/>
                <w:lang w:eastAsia="fr-BE"/>
              </w:rPr>
            </w:pPr>
            <w:r w:rsidRPr="00C56D1C">
              <w:rPr>
                <w:rFonts w:ascii="Aptos Narrow" w:eastAsia="Times New Roman" w:hAnsi="Aptos Narrow" w:cs="Times New Roman"/>
                <w:color w:val="000000"/>
                <w:lang w:eastAsia="fr-BE"/>
              </w:rPr>
              <w:t>1</w:t>
            </w:r>
          </w:p>
        </w:tc>
      </w:tr>
      <w:tr w:rsidR="00C56D1C" w:rsidRPr="00C56D1C" w14:paraId="3091A5DD" w14:textId="77777777" w:rsidTr="00807BF1">
        <w:trPr>
          <w:jc w:val="center"/>
        </w:trPr>
        <w:tc>
          <w:tcPr>
            <w:tcW w:w="2566" w:type="dxa"/>
            <w:tcBorders>
              <w:top w:val="nil"/>
              <w:left w:val="single" w:sz="4" w:space="0" w:color="auto"/>
              <w:bottom w:val="single" w:sz="4" w:space="0" w:color="auto"/>
              <w:right w:val="single" w:sz="4" w:space="0" w:color="auto"/>
            </w:tcBorders>
            <w:shd w:val="clear" w:color="000000" w:fill="F2F2F2"/>
            <w:noWrap/>
            <w:vAlign w:val="bottom"/>
            <w:hideMark/>
          </w:tcPr>
          <w:p w14:paraId="166C145B" w14:textId="1E0C7FFB" w:rsidR="00C56D1C" w:rsidRPr="00F03037" w:rsidRDefault="00807BF1" w:rsidP="00807BF1">
            <w:pPr>
              <w:spacing w:after="0" w:line="240" w:lineRule="auto"/>
              <w:rPr>
                <w:rFonts w:ascii="Aptos Narrow" w:eastAsia="Times New Roman" w:hAnsi="Aptos Narrow" w:cs="Times New Roman"/>
                <w:color w:val="000000"/>
                <w:lang w:eastAsia="fr-BE"/>
              </w:rPr>
            </w:pPr>
            <w:r w:rsidRPr="00807BF1">
              <w:rPr>
                <w:rFonts w:ascii="Aptos Narrow" w:eastAsia="Times New Roman" w:hAnsi="Aptos Narrow" w:cs="Times New Roman"/>
                <w:lang w:val="de-DE" w:eastAsia="fr-BE"/>
              </w:rPr>
              <w:t>Norwegen</w:t>
            </w:r>
          </w:p>
        </w:tc>
        <w:tc>
          <w:tcPr>
            <w:tcW w:w="3474" w:type="dxa"/>
            <w:tcBorders>
              <w:top w:val="nil"/>
              <w:left w:val="nil"/>
              <w:bottom w:val="single" w:sz="4" w:space="0" w:color="auto"/>
              <w:right w:val="single" w:sz="4" w:space="0" w:color="auto"/>
            </w:tcBorders>
            <w:shd w:val="clear" w:color="000000" w:fill="F2F2F2"/>
            <w:noWrap/>
            <w:vAlign w:val="bottom"/>
            <w:hideMark/>
          </w:tcPr>
          <w:p w14:paraId="4B55AB18" w14:textId="77777777" w:rsidR="00C56D1C" w:rsidRPr="00C56D1C" w:rsidRDefault="00C56D1C" w:rsidP="00C56D1C">
            <w:pPr>
              <w:spacing w:after="0" w:line="240" w:lineRule="auto"/>
              <w:jc w:val="center"/>
              <w:rPr>
                <w:rFonts w:ascii="Aptos Narrow" w:eastAsia="Times New Roman" w:hAnsi="Aptos Narrow" w:cs="Times New Roman"/>
                <w:color w:val="000000"/>
                <w:lang w:eastAsia="fr-BE"/>
              </w:rPr>
            </w:pPr>
            <w:r w:rsidRPr="00C56D1C">
              <w:rPr>
                <w:rFonts w:ascii="Aptos Narrow" w:eastAsia="Times New Roman" w:hAnsi="Aptos Narrow" w:cs="Times New Roman"/>
                <w:color w:val="000000"/>
                <w:lang w:eastAsia="fr-BE"/>
              </w:rPr>
              <w:t>1</w:t>
            </w:r>
          </w:p>
        </w:tc>
      </w:tr>
      <w:tr w:rsidR="00C56D1C" w:rsidRPr="00C56D1C" w14:paraId="2D62B258" w14:textId="77777777" w:rsidTr="00807BF1">
        <w:trPr>
          <w:jc w:val="center"/>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14:paraId="5E94E992" w14:textId="07362831" w:rsidR="00C56D1C" w:rsidRPr="00F03037" w:rsidRDefault="00807BF1" w:rsidP="00807BF1">
            <w:pPr>
              <w:spacing w:after="0" w:line="240" w:lineRule="auto"/>
              <w:rPr>
                <w:rFonts w:ascii="Aptos Narrow" w:eastAsia="Times New Roman" w:hAnsi="Aptos Narrow" w:cs="Times New Roman"/>
                <w:color w:val="000000"/>
                <w:lang w:eastAsia="fr-BE"/>
              </w:rPr>
            </w:pPr>
            <w:r w:rsidRPr="00807BF1">
              <w:rPr>
                <w:rFonts w:ascii="Aptos Narrow" w:eastAsia="Times New Roman" w:hAnsi="Aptos Narrow" w:cs="Times New Roman"/>
                <w:lang w:val="de-DE" w:eastAsia="fr-BE"/>
              </w:rPr>
              <w:t>Singapur</w:t>
            </w:r>
          </w:p>
        </w:tc>
        <w:tc>
          <w:tcPr>
            <w:tcW w:w="3474" w:type="dxa"/>
            <w:tcBorders>
              <w:top w:val="nil"/>
              <w:left w:val="nil"/>
              <w:bottom w:val="single" w:sz="4" w:space="0" w:color="auto"/>
              <w:right w:val="single" w:sz="4" w:space="0" w:color="auto"/>
            </w:tcBorders>
            <w:shd w:val="clear" w:color="auto" w:fill="auto"/>
            <w:noWrap/>
            <w:vAlign w:val="bottom"/>
            <w:hideMark/>
          </w:tcPr>
          <w:p w14:paraId="11D18186" w14:textId="77777777" w:rsidR="00C56D1C" w:rsidRPr="00C56D1C" w:rsidRDefault="00C56D1C" w:rsidP="00C56D1C">
            <w:pPr>
              <w:spacing w:after="0" w:line="240" w:lineRule="auto"/>
              <w:jc w:val="center"/>
              <w:rPr>
                <w:rFonts w:ascii="Aptos Narrow" w:eastAsia="Times New Roman" w:hAnsi="Aptos Narrow" w:cs="Times New Roman"/>
                <w:color w:val="000000"/>
                <w:lang w:eastAsia="fr-BE"/>
              </w:rPr>
            </w:pPr>
            <w:r w:rsidRPr="00C56D1C">
              <w:rPr>
                <w:rFonts w:ascii="Aptos Narrow" w:eastAsia="Times New Roman" w:hAnsi="Aptos Narrow" w:cs="Times New Roman"/>
                <w:color w:val="000000"/>
                <w:lang w:eastAsia="fr-BE"/>
              </w:rPr>
              <w:t>1</w:t>
            </w:r>
          </w:p>
        </w:tc>
      </w:tr>
      <w:tr w:rsidR="00C56D1C" w:rsidRPr="00C56D1C" w14:paraId="0E90D912" w14:textId="77777777" w:rsidTr="00807BF1">
        <w:trPr>
          <w:jc w:val="center"/>
        </w:trPr>
        <w:tc>
          <w:tcPr>
            <w:tcW w:w="2566" w:type="dxa"/>
            <w:tcBorders>
              <w:top w:val="nil"/>
              <w:left w:val="single" w:sz="4" w:space="0" w:color="auto"/>
              <w:bottom w:val="single" w:sz="4" w:space="0" w:color="auto"/>
              <w:right w:val="single" w:sz="4" w:space="0" w:color="auto"/>
            </w:tcBorders>
            <w:shd w:val="clear" w:color="000000" w:fill="F2F2F2"/>
            <w:noWrap/>
            <w:vAlign w:val="bottom"/>
            <w:hideMark/>
          </w:tcPr>
          <w:p w14:paraId="3E60AA71" w14:textId="66B5EBFB" w:rsidR="00C56D1C" w:rsidRPr="00F03037" w:rsidRDefault="00807BF1" w:rsidP="00807BF1">
            <w:pPr>
              <w:spacing w:after="0" w:line="240" w:lineRule="auto"/>
              <w:rPr>
                <w:rFonts w:ascii="Aptos Narrow" w:eastAsia="Times New Roman" w:hAnsi="Aptos Narrow" w:cs="Times New Roman"/>
                <w:color w:val="000000"/>
                <w:lang w:eastAsia="fr-BE"/>
              </w:rPr>
            </w:pPr>
            <w:r w:rsidRPr="00807BF1">
              <w:rPr>
                <w:rFonts w:ascii="Aptos Narrow" w:eastAsia="Times New Roman" w:hAnsi="Aptos Narrow" w:cs="Times New Roman"/>
                <w:lang w:val="de-DE" w:eastAsia="fr-BE"/>
              </w:rPr>
              <w:t>Spanien</w:t>
            </w:r>
          </w:p>
        </w:tc>
        <w:tc>
          <w:tcPr>
            <w:tcW w:w="3474" w:type="dxa"/>
            <w:tcBorders>
              <w:top w:val="nil"/>
              <w:left w:val="nil"/>
              <w:bottom w:val="single" w:sz="4" w:space="0" w:color="auto"/>
              <w:right w:val="single" w:sz="4" w:space="0" w:color="auto"/>
            </w:tcBorders>
            <w:shd w:val="clear" w:color="000000" w:fill="F2F2F2"/>
            <w:noWrap/>
            <w:vAlign w:val="bottom"/>
            <w:hideMark/>
          </w:tcPr>
          <w:p w14:paraId="1D778E0A" w14:textId="77777777" w:rsidR="00C56D1C" w:rsidRPr="00C56D1C" w:rsidRDefault="00C56D1C" w:rsidP="00C56D1C">
            <w:pPr>
              <w:spacing w:after="0" w:line="240" w:lineRule="auto"/>
              <w:jc w:val="center"/>
              <w:rPr>
                <w:rFonts w:ascii="Aptos Narrow" w:eastAsia="Times New Roman" w:hAnsi="Aptos Narrow" w:cs="Times New Roman"/>
                <w:color w:val="000000"/>
                <w:lang w:eastAsia="fr-BE"/>
              </w:rPr>
            </w:pPr>
            <w:r w:rsidRPr="00C56D1C">
              <w:rPr>
                <w:rFonts w:ascii="Aptos Narrow" w:eastAsia="Times New Roman" w:hAnsi="Aptos Narrow" w:cs="Times New Roman"/>
                <w:color w:val="000000"/>
                <w:lang w:eastAsia="fr-BE"/>
              </w:rPr>
              <w:t>1</w:t>
            </w:r>
          </w:p>
        </w:tc>
      </w:tr>
      <w:tr w:rsidR="00C56D1C" w:rsidRPr="00C56D1C" w14:paraId="0CB1C457" w14:textId="77777777" w:rsidTr="00807BF1">
        <w:trPr>
          <w:jc w:val="center"/>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14:paraId="65E44D4C" w14:textId="2D1A001E" w:rsidR="00C56D1C" w:rsidRPr="00F03037" w:rsidRDefault="00807BF1" w:rsidP="00807BF1">
            <w:pPr>
              <w:spacing w:after="0" w:line="240" w:lineRule="auto"/>
              <w:rPr>
                <w:rFonts w:ascii="Aptos Narrow" w:eastAsia="Times New Roman" w:hAnsi="Aptos Narrow" w:cs="Times New Roman"/>
                <w:color w:val="000000"/>
                <w:lang w:eastAsia="fr-BE"/>
              </w:rPr>
            </w:pPr>
            <w:r w:rsidRPr="00807BF1">
              <w:rPr>
                <w:rFonts w:ascii="Aptos Narrow" w:eastAsia="Times New Roman" w:hAnsi="Aptos Narrow" w:cs="Times New Roman"/>
                <w:lang w:val="de-DE" w:eastAsia="fr-BE"/>
              </w:rPr>
              <w:t>Vereinigtes Königreich</w:t>
            </w:r>
          </w:p>
        </w:tc>
        <w:tc>
          <w:tcPr>
            <w:tcW w:w="3474" w:type="dxa"/>
            <w:tcBorders>
              <w:top w:val="nil"/>
              <w:left w:val="nil"/>
              <w:bottom w:val="single" w:sz="4" w:space="0" w:color="auto"/>
              <w:right w:val="single" w:sz="4" w:space="0" w:color="auto"/>
            </w:tcBorders>
            <w:shd w:val="clear" w:color="auto" w:fill="auto"/>
            <w:noWrap/>
            <w:vAlign w:val="bottom"/>
            <w:hideMark/>
          </w:tcPr>
          <w:p w14:paraId="02763A93" w14:textId="77777777" w:rsidR="00C56D1C" w:rsidRPr="00C56D1C" w:rsidRDefault="00C56D1C" w:rsidP="00C56D1C">
            <w:pPr>
              <w:spacing w:after="0" w:line="240" w:lineRule="auto"/>
              <w:jc w:val="center"/>
              <w:rPr>
                <w:rFonts w:ascii="Aptos Narrow" w:eastAsia="Times New Roman" w:hAnsi="Aptos Narrow" w:cs="Times New Roman"/>
                <w:color w:val="000000"/>
                <w:lang w:eastAsia="fr-BE"/>
              </w:rPr>
            </w:pPr>
            <w:r w:rsidRPr="00C56D1C">
              <w:rPr>
                <w:rFonts w:ascii="Aptos Narrow" w:eastAsia="Times New Roman" w:hAnsi="Aptos Narrow" w:cs="Times New Roman"/>
                <w:color w:val="000000"/>
                <w:lang w:eastAsia="fr-BE"/>
              </w:rPr>
              <w:t>1</w:t>
            </w:r>
          </w:p>
        </w:tc>
      </w:tr>
      <w:tr w:rsidR="00C56D1C" w:rsidRPr="00C56D1C" w14:paraId="729F6933" w14:textId="77777777" w:rsidTr="00807BF1">
        <w:trPr>
          <w:jc w:val="center"/>
        </w:trPr>
        <w:tc>
          <w:tcPr>
            <w:tcW w:w="2566" w:type="dxa"/>
            <w:tcBorders>
              <w:top w:val="nil"/>
              <w:left w:val="single" w:sz="4" w:space="0" w:color="auto"/>
              <w:bottom w:val="single" w:sz="4" w:space="0" w:color="auto"/>
              <w:right w:val="single" w:sz="4" w:space="0" w:color="auto"/>
            </w:tcBorders>
            <w:shd w:val="clear" w:color="auto" w:fill="auto"/>
            <w:noWrap/>
            <w:vAlign w:val="bottom"/>
            <w:hideMark/>
          </w:tcPr>
          <w:p w14:paraId="1AC5F429" w14:textId="1C525A78" w:rsidR="00C56D1C" w:rsidRPr="00F03037" w:rsidRDefault="00807BF1" w:rsidP="00807BF1">
            <w:pPr>
              <w:spacing w:after="0" w:line="240" w:lineRule="auto"/>
              <w:rPr>
                <w:rFonts w:ascii="Aptos Narrow" w:eastAsia="Times New Roman" w:hAnsi="Aptos Narrow" w:cs="Times New Roman"/>
                <w:b/>
                <w:bCs/>
                <w:color w:val="000000"/>
                <w:lang w:eastAsia="fr-BE"/>
              </w:rPr>
            </w:pPr>
            <w:r w:rsidRPr="00807BF1">
              <w:rPr>
                <w:rFonts w:ascii="Aptos Narrow" w:eastAsia="Times New Roman" w:hAnsi="Aptos Narrow" w:cs="Times New Roman"/>
                <w:b/>
                <w:bCs/>
                <w:lang w:val="de-DE" w:eastAsia="fr-BE"/>
              </w:rPr>
              <w:t>INSGESAMT</w:t>
            </w:r>
          </w:p>
        </w:tc>
        <w:tc>
          <w:tcPr>
            <w:tcW w:w="3474" w:type="dxa"/>
            <w:tcBorders>
              <w:top w:val="nil"/>
              <w:left w:val="nil"/>
              <w:bottom w:val="single" w:sz="4" w:space="0" w:color="auto"/>
              <w:right w:val="single" w:sz="4" w:space="0" w:color="auto"/>
            </w:tcBorders>
            <w:shd w:val="clear" w:color="auto" w:fill="auto"/>
            <w:noWrap/>
            <w:vAlign w:val="bottom"/>
            <w:hideMark/>
          </w:tcPr>
          <w:p w14:paraId="373475FE" w14:textId="77777777" w:rsidR="00C56D1C" w:rsidRPr="007C4174" w:rsidRDefault="00C56D1C" w:rsidP="00C56D1C">
            <w:pPr>
              <w:spacing w:after="0" w:line="240" w:lineRule="auto"/>
              <w:jc w:val="center"/>
              <w:rPr>
                <w:rFonts w:ascii="Aptos Narrow" w:eastAsia="Times New Roman" w:hAnsi="Aptos Narrow" w:cs="Times New Roman"/>
                <w:b/>
                <w:bCs/>
                <w:color w:val="000000"/>
                <w:lang w:eastAsia="fr-BE"/>
              </w:rPr>
            </w:pPr>
            <w:r w:rsidRPr="007C4174">
              <w:rPr>
                <w:rFonts w:ascii="Aptos Narrow" w:eastAsia="Times New Roman" w:hAnsi="Aptos Narrow" w:cs="Times New Roman"/>
                <w:b/>
                <w:bCs/>
                <w:color w:val="000000"/>
                <w:lang w:eastAsia="fr-BE"/>
              </w:rPr>
              <w:t>221</w:t>
            </w:r>
          </w:p>
        </w:tc>
      </w:tr>
    </w:tbl>
    <w:p w14:paraId="0534709E" w14:textId="77777777" w:rsidR="00DD3B76" w:rsidRDefault="00DD3B76" w:rsidP="007E2606">
      <w:pPr>
        <w:rPr>
          <w:sz w:val="24"/>
          <w:szCs w:val="24"/>
          <w:lang w:val="de-DE"/>
        </w:rPr>
      </w:pPr>
    </w:p>
    <w:p w14:paraId="54042AB4" w14:textId="0BB3A102" w:rsidR="00C56D1C" w:rsidRDefault="00807BF1" w:rsidP="007E2606">
      <w:pPr>
        <w:rPr>
          <w:sz w:val="24"/>
          <w:szCs w:val="24"/>
          <w:lang w:val="nl-BE"/>
        </w:rPr>
      </w:pPr>
      <w:r w:rsidRPr="00807BF1">
        <w:rPr>
          <w:sz w:val="24"/>
          <w:szCs w:val="24"/>
          <w:lang w:val="de-DE"/>
        </w:rPr>
        <w:t>An dritter Stelle steht Deutschland, für das unsere Messe zweifelsohne als der Ort gilt, wo man die Einzelhändler der Benelux-Länder erreich</w:t>
      </w:r>
      <w:r w:rsidR="00EC00B5">
        <w:rPr>
          <w:sz w:val="24"/>
          <w:szCs w:val="24"/>
          <w:lang w:val="de-DE"/>
        </w:rPr>
        <w:t>en kann</w:t>
      </w:r>
      <w:r w:rsidRPr="00807BF1">
        <w:rPr>
          <w:sz w:val="24"/>
          <w:szCs w:val="24"/>
          <w:lang w:val="de-DE"/>
        </w:rPr>
        <w:t>.</w:t>
      </w:r>
      <w:r w:rsidR="00415248" w:rsidRPr="00F03037">
        <w:rPr>
          <w:sz w:val="24"/>
          <w:szCs w:val="24"/>
          <w:lang w:val="nl-BE"/>
        </w:rPr>
        <w:t xml:space="preserve"> </w:t>
      </w:r>
      <w:r w:rsidR="007E2606" w:rsidRPr="007E2606">
        <w:rPr>
          <w:sz w:val="24"/>
          <w:szCs w:val="24"/>
          <w:lang w:val="de-DE"/>
        </w:rPr>
        <w:t xml:space="preserve">Dasselbe </w:t>
      </w:r>
      <w:r w:rsidR="00F169D5">
        <w:rPr>
          <w:sz w:val="24"/>
          <w:szCs w:val="24"/>
          <w:lang w:val="de-DE"/>
        </w:rPr>
        <w:t>trifft</w:t>
      </w:r>
      <w:r w:rsidR="007E2606" w:rsidRPr="007E2606">
        <w:rPr>
          <w:sz w:val="24"/>
          <w:szCs w:val="24"/>
          <w:lang w:val="de-DE"/>
        </w:rPr>
        <w:t xml:space="preserve"> übrigens </w:t>
      </w:r>
      <w:r w:rsidR="00F169D5">
        <w:rPr>
          <w:sz w:val="24"/>
          <w:szCs w:val="24"/>
          <w:lang w:val="de-DE"/>
        </w:rPr>
        <w:t xml:space="preserve">ebenso </w:t>
      </w:r>
      <w:r w:rsidR="007E2606" w:rsidRPr="007E2606">
        <w:rPr>
          <w:sz w:val="24"/>
          <w:szCs w:val="24"/>
          <w:lang w:val="de-DE"/>
        </w:rPr>
        <w:t>für Polen</w:t>
      </w:r>
      <w:r w:rsidR="00F169D5">
        <w:rPr>
          <w:sz w:val="24"/>
          <w:szCs w:val="24"/>
          <w:lang w:val="de-DE"/>
        </w:rPr>
        <w:t xml:space="preserve"> zu</w:t>
      </w:r>
      <w:r w:rsidR="007E2606" w:rsidRPr="007E2606">
        <w:rPr>
          <w:sz w:val="24"/>
          <w:szCs w:val="24"/>
          <w:lang w:val="de-DE"/>
        </w:rPr>
        <w:t>, auch immer in Brüssel zugegen.</w:t>
      </w:r>
      <w:r w:rsidR="00A06A52" w:rsidRPr="00F03037">
        <w:rPr>
          <w:sz w:val="24"/>
          <w:szCs w:val="24"/>
          <w:lang w:val="nl-BE"/>
        </w:rPr>
        <w:t xml:space="preserve"> </w:t>
      </w:r>
    </w:p>
    <w:p w14:paraId="2F189679" w14:textId="0C5464D5" w:rsidR="00A06A52" w:rsidRPr="00F03037" w:rsidRDefault="007E2606" w:rsidP="007E2606">
      <w:pPr>
        <w:rPr>
          <w:sz w:val="24"/>
          <w:szCs w:val="24"/>
          <w:lang w:val="nl-BE"/>
        </w:rPr>
      </w:pPr>
      <w:r w:rsidRPr="007E2606">
        <w:rPr>
          <w:sz w:val="24"/>
          <w:szCs w:val="24"/>
          <w:lang w:val="de-DE"/>
        </w:rPr>
        <w:t xml:space="preserve">Wir stellen des Weiteren fest, dass die Zahl der Aussteller aus Italien, die in der Regel in Halle 3 zu finden sind, in diesem Jahr etwas geringer </w:t>
      </w:r>
      <w:r w:rsidR="00EC00B5">
        <w:rPr>
          <w:sz w:val="24"/>
          <w:szCs w:val="24"/>
          <w:lang w:val="de-DE"/>
        </w:rPr>
        <w:t>ausfällt</w:t>
      </w:r>
      <w:r w:rsidRPr="007E2606">
        <w:rPr>
          <w:sz w:val="24"/>
          <w:szCs w:val="24"/>
          <w:lang w:val="de-DE"/>
        </w:rPr>
        <w:t xml:space="preserve"> - eine Wachstumschance für das nächste Jahr, in dem wir unsere Aufmerksamkeit </w:t>
      </w:r>
      <w:r w:rsidR="00EC00B5">
        <w:rPr>
          <w:sz w:val="24"/>
          <w:szCs w:val="24"/>
          <w:lang w:val="de-DE"/>
        </w:rPr>
        <w:t>unbedingt</w:t>
      </w:r>
      <w:r w:rsidRPr="007E2606">
        <w:rPr>
          <w:sz w:val="24"/>
          <w:szCs w:val="24"/>
          <w:lang w:val="de-DE"/>
        </w:rPr>
        <w:t xml:space="preserve"> wieder auf die europäische Halbinsel richten werden, die in Brüssel besonders für ihre hochwertigen Sofas bekannt is</w:t>
      </w:r>
      <w:r>
        <w:rPr>
          <w:sz w:val="24"/>
          <w:szCs w:val="24"/>
          <w:lang w:val="de-DE"/>
        </w:rPr>
        <w:t>t.</w:t>
      </w:r>
    </w:p>
    <w:p w14:paraId="76AD97FF" w14:textId="6AF652C5" w:rsidR="003A4EB9" w:rsidRDefault="007E2606" w:rsidP="007E2606">
      <w:pPr>
        <w:rPr>
          <w:sz w:val="24"/>
          <w:szCs w:val="24"/>
          <w:lang w:val="nl-BE"/>
        </w:rPr>
      </w:pPr>
      <w:r w:rsidRPr="007E2606">
        <w:rPr>
          <w:sz w:val="24"/>
          <w:szCs w:val="24"/>
          <w:lang w:val="de-DE"/>
        </w:rPr>
        <w:lastRenderedPageBreak/>
        <w:t xml:space="preserve">Der Unterschied zu früheren Editionen der Möbelmesse </w:t>
      </w:r>
      <w:r>
        <w:rPr>
          <w:sz w:val="24"/>
          <w:szCs w:val="24"/>
          <w:lang w:val="de-DE"/>
        </w:rPr>
        <w:t>ist</w:t>
      </w:r>
      <w:r w:rsidRPr="007E2606">
        <w:rPr>
          <w:sz w:val="24"/>
          <w:szCs w:val="24"/>
          <w:lang w:val="de-DE"/>
        </w:rPr>
        <w:t xml:space="preserve"> vor allem in Halle 9 </w:t>
      </w:r>
      <w:r>
        <w:rPr>
          <w:sz w:val="24"/>
          <w:szCs w:val="24"/>
          <w:lang w:val="de-DE"/>
        </w:rPr>
        <w:t>zu bemerken</w:t>
      </w:r>
      <w:r w:rsidRPr="007E2606">
        <w:rPr>
          <w:sz w:val="24"/>
          <w:szCs w:val="24"/>
          <w:lang w:val="de-DE"/>
        </w:rPr>
        <w:t>.</w:t>
      </w:r>
      <w:r w:rsidR="003A4EB9" w:rsidRPr="00F03037">
        <w:rPr>
          <w:sz w:val="24"/>
          <w:szCs w:val="24"/>
          <w:lang w:val="nl-BE"/>
        </w:rPr>
        <w:t xml:space="preserve"> </w:t>
      </w:r>
      <w:r w:rsidRPr="007E2606">
        <w:rPr>
          <w:sz w:val="24"/>
          <w:szCs w:val="24"/>
          <w:lang w:val="de-DE"/>
        </w:rPr>
        <w:t xml:space="preserve">Dem aufmerksamen Betrachter fällt die etwas kleine Ausstellungsfläche auf </w:t>
      </w:r>
      <w:r w:rsidR="00F169D5" w:rsidRPr="007E2606">
        <w:rPr>
          <w:sz w:val="24"/>
          <w:szCs w:val="24"/>
          <w:lang w:val="de-DE"/>
        </w:rPr>
        <w:t>bei einem</w:t>
      </w:r>
      <w:r w:rsidRPr="007E2606">
        <w:rPr>
          <w:sz w:val="24"/>
          <w:szCs w:val="24"/>
          <w:lang w:val="de-DE"/>
        </w:rPr>
        <w:t xml:space="preserve"> gleichzeitigen Gewinn an Qualität.</w:t>
      </w:r>
      <w:r w:rsidR="00867470" w:rsidRPr="00F03037">
        <w:rPr>
          <w:sz w:val="24"/>
          <w:szCs w:val="24"/>
          <w:lang w:val="nl-BE"/>
        </w:rPr>
        <w:t xml:space="preserve"> </w:t>
      </w:r>
      <w:r w:rsidRPr="007E2606">
        <w:rPr>
          <w:sz w:val="24"/>
          <w:szCs w:val="24"/>
          <w:lang w:val="de-DE"/>
        </w:rPr>
        <w:t>Eine sehr bewusste Strategie, mit der wir auf die Fragen und Bemerkungen der treuen Aussteller in Halle 9 eingegangen sind.</w:t>
      </w:r>
      <w:r w:rsidR="00867470" w:rsidRPr="00F03037">
        <w:rPr>
          <w:sz w:val="24"/>
          <w:szCs w:val="24"/>
          <w:lang w:val="nl-BE"/>
        </w:rPr>
        <w:t xml:space="preserve"> </w:t>
      </w:r>
      <w:r w:rsidRPr="007E2606">
        <w:rPr>
          <w:sz w:val="24"/>
          <w:szCs w:val="24"/>
          <w:lang w:val="de-DE"/>
        </w:rPr>
        <w:t>Die Präsenz einiger Qualitätsmarken aus der Ukraine und der Region Lodz (Polen) ist ein gutes Beispiel dafür.</w:t>
      </w:r>
      <w:r w:rsidR="004057B9" w:rsidRPr="00F03037">
        <w:rPr>
          <w:sz w:val="24"/>
          <w:szCs w:val="24"/>
          <w:lang w:val="nl-BE"/>
        </w:rPr>
        <w:t xml:space="preserve"> </w:t>
      </w:r>
    </w:p>
    <w:p w14:paraId="58CB561E" w14:textId="77777777" w:rsidR="00DD3B76" w:rsidRDefault="00DD3B76" w:rsidP="007E2606">
      <w:pPr>
        <w:rPr>
          <w:b/>
          <w:bCs/>
          <w:lang w:val="de-DE"/>
        </w:rPr>
      </w:pPr>
    </w:p>
    <w:p w14:paraId="38766A38" w14:textId="124AC099" w:rsidR="009B33DF" w:rsidRPr="00F03037" w:rsidRDefault="007E2606" w:rsidP="007E2606">
      <w:pPr>
        <w:rPr>
          <w:b/>
          <w:bCs/>
          <w:lang w:val="nl-BE"/>
        </w:rPr>
      </w:pPr>
      <w:r w:rsidRPr="007E2606">
        <w:rPr>
          <w:b/>
          <w:bCs/>
          <w:lang w:val="de-DE"/>
        </w:rPr>
        <w:t>Zukunf</w:t>
      </w:r>
      <w:r w:rsidR="00EC00B5">
        <w:rPr>
          <w:b/>
          <w:bCs/>
          <w:lang w:val="de-DE"/>
        </w:rPr>
        <w:t>t</w:t>
      </w:r>
      <w:r w:rsidRPr="007E2606">
        <w:rPr>
          <w:b/>
          <w:bCs/>
          <w:lang w:val="de-DE"/>
        </w:rPr>
        <w:t>svisionen</w:t>
      </w:r>
    </w:p>
    <w:p w14:paraId="31D5B8EA" w14:textId="0465AB5A" w:rsidR="009B33DF" w:rsidRPr="00F03037" w:rsidRDefault="007E2606" w:rsidP="007E2606">
      <w:pPr>
        <w:rPr>
          <w:lang w:val="nl-BE"/>
        </w:rPr>
      </w:pPr>
      <w:r w:rsidRPr="007E2606">
        <w:rPr>
          <w:lang w:val="de-DE"/>
        </w:rPr>
        <w:t xml:space="preserve">Zum Abschluss </w:t>
      </w:r>
      <w:r w:rsidR="00EC00B5">
        <w:rPr>
          <w:lang w:val="de-DE"/>
        </w:rPr>
        <w:t>richten</w:t>
      </w:r>
      <w:r w:rsidRPr="007E2606">
        <w:rPr>
          <w:lang w:val="de-DE"/>
        </w:rPr>
        <w:t xml:space="preserve"> wir wiederum </w:t>
      </w:r>
      <w:r w:rsidR="00EC00B5">
        <w:rPr>
          <w:lang w:val="de-DE"/>
        </w:rPr>
        <w:t>den</w:t>
      </w:r>
      <w:r w:rsidRPr="007E2606">
        <w:rPr>
          <w:lang w:val="de-DE"/>
        </w:rPr>
        <w:t xml:space="preserve"> Blick in die Zukunft.</w:t>
      </w:r>
      <w:r w:rsidR="009B33DF" w:rsidRPr="00F03037">
        <w:rPr>
          <w:lang w:val="nl-BE"/>
        </w:rPr>
        <w:t xml:space="preserve"> </w:t>
      </w:r>
      <w:r w:rsidRPr="007E2606">
        <w:rPr>
          <w:lang w:val="de-DE"/>
        </w:rPr>
        <w:t>Was dürfen Sie von der Möbelmesse 2025 erwarten?</w:t>
      </w:r>
    </w:p>
    <w:p w14:paraId="7819A5D9" w14:textId="6FAF124F" w:rsidR="009B33DF" w:rsidRPr="00F03037" w:rsidRDefault="007E2606" w:rsidP="007E2606">
      <w:pPr>
        <w:rPr>
          <w:lang w:val="nl-BE"/>
        </w:rPr>
      </w:pPr>
      <w:r w:rsidRPr="007E2606">
        <w:rPr>
          <w:lang w:val="de-DE"/>
        </w:rPr>
        <w:t>Die nächste Edition der Brüsseler Möbelmesse wird vom 2. bis 5. November 2025 stattfinden.</w:t>
      </w:r>
    </w:p>
    <w:p w14:paraId="7C3B3D16" w14:textId="44B3213C" w:rsidR="00C56D1C" w:rsidRPr="007E2606" w:rsidRDefault="007E2606" w:rsidP="007E2606">
      <w:pPr>
        <w:rPr>
          <w:lang w:val="nl-BE"/>
        </w:rPr>
      </w:pPr>
      <w:r w:rsidRPr="007E2606">
        <w:rPr>
          <w:lang w:val="de-DE"/>
        </w:rPr>
        <w:t>Die Möbelmesse steht für Sicherheit, Effizienz und gute Geschäfte in einer stimmungsvollen Umgebung.</w:t>
      </w:r>
      <w:r w:rsidR="009B33DF" w:rsidRPr="00F03037">
        <w:rPr>
          <w:lang w:val="nl-BE"/>
        </w:rPr>
        <w:t xml:space="preserve"> </w:t>
      </w:r>
      <w:r w:rsidRPr="007E2606">
        <w:rPr>
          <w:lang w:val="de-DE"/>
        </w:rPr>
        <w:t>Dieser letzte Satz ist genau derselbe wie in Ihrer Pressemappe 2023 und das ist kein Zufall, sondern ist die Essenz selbst der Brüsseler Möbelmesse.</w:t>
      </w:r>
      <w:r w:rsidR="009B33DF" w:rsidRPr="00F03037">
        <w:rPr>
          <w:lang w:val="nl-BE"/>
        </w:rPr>
        <w:t xml:space="preserve"> </w:t>
      </w:r>
      <w:r w:rsidRPr="007E2606">
        <w:rPr>
          <w:lang w:val="de-DE"/>
        </w:rPr>
        <w:t>Unsere Wurzeln sind gut entwickelt und reichen tief in den Grund, und die Entwicklung wird weitergehen.</w:t>
      </w:r>
    </w:p>
    <w:sectPr w:rsidR="00C56D1C" w:rsidRPr="007E2606">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0696A" w14:textId="77777777" w:rsidR="00D279AA" w:rsidRDefault="00D279AA" w:rsidP="00F03037">
      <w:pPr>
        <w:spacing w:after="0" w:line="240" w:lineRule="auto"/>
      </w:pPr>
      <w:r>
        <w:separator/>
      </w:r>
    </w:p>
  </w:endnote>
  <w:endnote w:type="continuationSeparator" w:id="0">
    <w:p w14:paraId="544366BE" w14:textId="77777777" w:rsidR="00D279AA" w:rsidRDefault="00D279AA" w:rsidP="00F03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BF9A4" w14:textId="77777777" w:rsidR="00F03037" w:rsidRDefault="00F030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B4D93" w14:textId="77777777" w:rsidR="00F03037" w:rsidRDefault="00F030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FA080" w14:textId="77777777" w:rsidR="00F03037" w:rsidRDefault="00F030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4BB60" w14:textId="77777777" w:rsidR="00D279AA" w:rsidRDefault="00D279AA" w:rsidP="00F03037">
      <w:pPr>
        <w:spacing w:after="0" w:line="240" w:lineRule="auto"/>
      </w:pPr>
      <w:r>
        <w:separator/>
      </w:r>
    </w:p>
  </w:footnote>
  <w:footnote w:type="continuationSeparator" w:id="0">
    <w:p w14:paraId="0655746F" w14:textId="77777777" w:rsidR="00D279AA" w:rsidRDefault="00D279AA" w:rsidP="00F03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F5089" w14:textId="77777777" w:rsidR="00F03037" w:rsidRDefault="00F030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70E8D" w14:textId="77777777" w:rsidR="00F03037" w:rsidRDefault="00F030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42D46" w14:textId="77777777" w:rsidR="00F03037" w:rsidRDefault="00F030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0727B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62CAA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5002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7B676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0AC6F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8410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96C1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C88D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12E6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110922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93BA7"/>
    <w:multiLevelType w:val="hybridMultilevel"/>
    <w:tmpl w:val="76D09F6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0DA1181C"/>
    <w:multiLevelType w:val="hybridMultilevel"/>
    <w:tmpl w:val="CDCC916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12BE42B2"/>
    <w:multiLevelType w:val="hybridMultilevel"/>
    <w:tmpl w:val="C0A048D6"/>
    <w:lvl w:ilvl="0" w:tplc="8D08D47C">
      <w:start w:val="1"/>
      <w:numFmt w:val="bullet"/>
      <w:lvlText w:val=""/>
      <w:lvlJc w:val="left"/>
      <w:pPr>
        <w:ind w:left="720" w:hanging="360"/>
      </w:pPr>
      <w:rPr>
        <w:rFonts w:ascii="Symbol" w:hAnsi="Symbol" w:hint="default"/>
      </w:rPr>
    </w:lvl>
    <w:lvl w:ilvl="1" w:tplc="16483FFE" w:tentative="1">
      <w:start w:val="1"/>
      <w:numFmt w:val="bullet"/>
      <w:lvlText w:val="o"/>
      <w:lvlJc w:val="left"/>
      <w:pPr>
        <w:ind w:left="1440" w:hanging="360"/>
      </w:pPr>
      <w:rPr>
        <w:rFonts w:ascii="Courier New" w:hAnsi="Courier New" w:cs="Courier New" w:hint="default"/>
      </w:rPr>
    </w:lvl>
    <w:lvl w:ilvl="2" w:tplc="7B98D1CE" w:tentative="1">
      <w:start w:val="1"/>
      <w:numFmt w:val="bullet"/>
      <w:lvlText w:val=""/>
      <w:lvlJc w:val="left"/>
      <w:pPr>
        <w:ind w:left="2160" w:hanging="360"/>
      </w:pPr>
      <w:rPr>
        <w:rFonts w:ascii="Wingdings" w:hAnsi="Wingdings" w:hint="default"/>
      </w:rPr>
    </w:lvl>
    <w:lvl w:ilvl="3" w:tplc="635AFDDC" w:tentative="1">
      <w:start w:val="1"/>
      <w:numFmt w:val="bullet"/>
      <w:lvlText w:val=""/>
      <w:lvlJc w:val="left"/>
      <w:pPr>
        <w:ind w:left="2880" w:hanging="360"/>
      </w:pPr>
      <w:rPr>
        <w:rFonts w:ascii="Symbol" w:hAnsi="Symbol" w:hint="default"/>
      </w:rPr>
    </w:lvl>
    <w:lvl w:ilvl="4" w:tplc="A9A249EA" w:tentative="1">
      <w:start w:val="1"/>
      <w:numFmt w:val="bullet"/>
      <w:lvlText w:val="o"/>
      <w:lvlJc w:val="left"/>
      <w:pPr>
        <w:ind w:left="3600" w:hanging="360"/>
      </w:pPr>
      <w:rPr>
        <w:rFonts w:ascii="Courier New" w:hAnsi="Courier New" w:cs="Courier New" w:hint="default"/>
      </w:rPr>
    </w:lvl>
    <w:lvl w:ilvl="5" w:tplc="FBC0888C" w:tentative="1">
      <w:start w:val="1"/>
      <w:numFmt w:val="bullet"/>
      <w:lvlText w:val=""/>
      <w:lvlJc w:val="left"/>
      <w:pPr>
        <w:ind w:left="4320" w:hanging="360"/>
      </w:pPr>
      <w:rPr>
        <w:rFonts w:ascii="Wingdings" w:hAnsi="Wingdings" w:hint="default"/>
      </w:rPr>
    </w:lvl>
    <w:lvl w:ilvl="6" w:tplc="0CDA5B8A" w:tentative="1">
      <w:start w:val="1"/>
      <w:numFmt w:val="bullet"/>
      <w:lvlText w:val=""/>
      <w:lvlJc w:val="left"/>
      <w:pPr>
        <w:ind w:left="5040" w:hanging="360"/>
      </w:pPr>
      <w:rPr>
        <w:rFonts w:ascii="Symbol" w:hAnsi="Symbol" w:hint="default"/>
      </w:rPr>
    </w:lvl>
    <w:lvl w:ilvl="7" w:tplc="54825984" w:tentative="1">
      <w:start w:val="1"/>
      <w:numFmt w:val="bullet"/>
      <w:lvlText w:val="o"/>
      <w:lvlJc w:val="left"/>
      <w:pPr>
        <w:ind w:left="5760" w:hanging="360"/>
      </w:pPr>
      <w:rPr>
        <w:rFonts w:ascii="Courier New" w:hAnsi="Courier New" w:cs="Courier New" w:hint="default"/>
      </w:rPr>
    </w:lvl>
    <w:lvl w:ilvl="8" w:tplc="9A7AD5BE" w:tentative="1">
      <w:start w:val="1"/>
      <w:numFmt w:val="bullet"/>
      <w:lvlText w:val=""/>
      <w:lvlJc w:val="left"/>
      <w:pPr>
        <w:ind w:left="6480" w:hanging="360"/>
      </w:pPr>
      <w:rPr>
        <w:rFonts w:ascii="Wingdings" w:hAnsi="Wingdings" w:hint="default"/>
      </w:rPr>
    </w:lvl>
  </w:abstractNum>
  <w:abstractNum w:abstractNumId="13" w15:restartNumberingAfterBreak="0">
    <w:nsid w:val="19BD15BE"/>
    <w:multiLevelType w:val="hybridMultilevel"/>
    <w:tmpl w:val="001ECDA2"/>
    <w:lvl w:ilvl="0" w:tplc="17AA514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1D0F0626"/>
    <w:multiLevelType w:val="hybridMultilevel"/>
    <w:tmpl w:val="D2B033A0"/>
    <w:lvl w:ilvl="0" w:tplc="E7681AB4">
      <w:start w:val="1"/>
      <w:numFmt w:val="bullet"/>
      <w:lvlText w:val="-"/>
      <w:lvlJc w:val="left"/>
      <w:pPr>
        <w:ind w:left="720" w:hanging="360"/>
      </w:pPr>
      <w:rPr>
        <w:rFonts w:ascii="Aptos" w:eastAsiaTheme="minorHAnsi" w:hAnsi="Aptos"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9240573"/>
    <w:multiLevelType w:val="hybridMultilevel"/>
    <w:tmpl w:val="2FC4BCF0"/>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54FE688F"/>
    <w:multiLevelType w:val="hybridMultilevel"/>
    <w:tmpl w:val="3A8A28D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60DF1E61"/>
    <w:multiLevelType w:val="hybridMultilevel"/>
    <w:tmpl w:val="3C72410E"/>
    <w:lvl w:ilvl="0" w:tplc="2A54668E">
      <w:start w:val="1"/>
      <w:numFmt w:val="bullet"/>
      <w:lvlText w:val=""/>
      <w:lvlJc w:val="left"/>
      <w:pPr>
        <w:ind w:left="720" w:hanging="360"/>
      </w:pPr>
      <w:rPr>
        <w:rFonts w:ascii="Symbol" w:hAnsi="Symbol" w:hint="default"/>
      </w:rPr>
    </w:lvl>
    <w:lvl w:ilvl="1" w:tplc="F260F602" w:tentative="1">
      <w:start w:val="1"/>
      <w:numFmt w:val="bullet"/>
      <w:lvlText w:val="o"/>
      <w:lvlJc w:val="left"/>
      <w:pPr>
        <w:ind w:left="1440" w:hanging="360"/>
      </w:pPr>
      <w:rPr>
        <w:rFonts w:ascii="Courier New" w:hAnsi="Courier New" w:cs="Courier New" w:hint="default"/>
      </w:rPr>
    </w:lvl>
    <w:lvl w:ilvl="2" w:tplc="3A681AB8" w:tentative="1">
      <w:start w:val="1"/>
      <w:numFmt w:val="bullet"/>
      <w:lvlText w:val=""/>
      <w:lvlJc w:val="left"/>
      <w:pPr>
        <w:ind w:left="2160" w:hanging="360"/>
      </w:pPr>
      <w:rPr>
        <w:rFonts w:ascii="Wingdings" w:hAnsi="Wingdings" w:hint="default"/>
      </w:rPr>
    </w:lvl>
    <w:lvl w:ilvl="3" w:tplc="4CC46220" w:tentative="1">
      <w:start w:val="1"/>
      <w:numFmt w:val="bullet"/>
      <w:lvlText w:val=""/>
      <w:lvlJc w:val="left"/>
      <w:pPr>
        <w:ind w:left="2880" w:hanging="360"/>
      </w:pPr>
      <w:rPr>
        <w:rFonts w:ascii="Symbol" w:hAnsi="Symbol" w:hint="default"/>
      </w:rPr>
    </w:lvl>
    <w:lvl w:ilvl="4" w:tplc="E0526BE4" w:tentative="1">
      <w:start w:val="1"/>
      <w:numFmt w:val="bullet"/>
      <w:lvlText w:val="o"/>
      <w:lvlJc w:val="left"/>
      <w:pPr>
        <w:ind w:left="3600" w:hanging="360"/>
      </w:pPr>
      <w:rPr>
        <w:rFonts w:ascii="Courier New" w:hAnsi="Courier New" w:cs="Courier New" w:hint="default"/>
      </w:rPr>
    </w:lvl>
    <w:lvl w:ilvl="5" w:tplc="A776C584" w:tentative="1">
      <w:start w:val="1"/>
      <w:numFmt w:val="bullet"/>
      <w:lvlText w:val=""/>
      <w:lvlJc w:val="left"/>
      <w:pPr>
        <w:ind w:left="4320" w:hanging="360"/>
      </w:pPr>
      <w:rPr>
        <w:rFonts w:ascii="Wingdings" w:hAnsi="Wingdings" w:hint="default"/>
      </w:rPr>
    </w:lvl>
    <w:lvl w:ilvl="6" w:tplc="F0582242" w:tentative="1">
      <w:start w:val="1"/>
      <w:numFmt w:val="bullet"/>
      <w:lvlText w:val=""/>
      <w:lvlJc w:val="left"/>
      <w:pPr>
        <w:ind w:left="5040" w:hanging="360"/>
      </w:pPr>
      <w:rPr>
        <w:rFonts w:ascii="Symbol" w:hAnsi="Symbol" w:hint="default"/>
      </w:rPr>
    </w:lvl>
    <w:lvl w:ilvl="7" w:tplc="7EC853B4" w:tentative="1">
      <w:start w:val="1"/>
      <w:numFmt w:val="bullet"/>
      <w:lvlText w:val="o"/>
      <w:lvlJc w:val="left"/>
      <w:pPr>
        <w:ind w:left="5760" w:hanging="360"/>
      </w:pPr>
      <w:rPr>
        <w:rFonts w:ascii="Courier New" w:hAnsi="Courier New" w:cs="Courier New" w:hint="default"/>
      </w:rPr>
    </w:lvl>
    <w:lvl w:ilvl="8" w:tplc="98BA856C" w:tentative="1">
      <w:start w:val="1"/>
      <w:numFmt w:val="bullet"/>
      <w:lvlText w:val=""/>
      <w:lvlJc w:val="left"/>
      <w:pPr>
        <w:ind w:left="6480" w:hanging="360"/>
      </w:pPr>
      <w:rPr>
        <w:rFonts w:ascii="Wingdings" w:hAnsi="Wingdings" w:hint="default"/>
      </w:rPr>
    </w:lvl>
  </w:abstractNum>
  <w:abstractNum w:abstractNumId="18" w15:restartNumberingAfterBreak="0">
    <w:nsid w:val="6A5F7EB6"/>
    <w:multiLevelType w:val="hybridMultilevel"/>
    <w:tmpl w:val="51C2D5B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733F1561"/>
    <w:multiLevelType w:val="hybridMultilevel"/>
    <w:tmpl w:val="EFFC524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77B07BF0"/>
    <w:multiLevelType w:val="hybridMultilevel"/>
    <w:tmpl w:val="22207386"/>
    <w:lvl w:ilvl="0" w:tplc="080C000F">
      <w:start w:val="3"/>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397094939">
    <w:abstractNumId w:val="18"/>
  </w:num>
  <w:num w:numId="2" w16cid:durableId="1676877184">
    <w:abstractNumId w:val="11"/>
  </w:num>
  <w:num w:numId="3" w16cid:durableId="134299536">
    <w:abstractNumId w:val="10"/>
  </w:num>
  <w:num w:numId="4" w16cid:durableId="63988108">
    <w:abstractNumId w:val="19"/>
  </w:num>
  <w:num w:numId="5" w16cid:durableId="2087459260">
    <w:abstractNumId w:val="14"/>
  </w:num>
  <w:num w:numId="6" w16cid:durableId="997151719">
    <w:abstractNumId w:val="13"/>
  </w:num>
  <w:num w:numId="7" w16cid:durableId="1659261807">
    <w:abstractNumId w:val="16"/>
  </w:num>
  <w:num w:numId="8" w16cid:durableId="666052624">
    <w:abstractNumId w:val="15"/>
  </w:num>
  <w:num w:numId="9" w16cid:durableId="65688733">
    <w:abstractNumId w:val="9"/>
  </w:num>
  <w:num w:numId="10" w16cid:durableId="134688751">
    <w:abstractNumId w:val="7"/>
  </w:num>
  <w:num w:numId="11" w16cid:durableId="1614509538">
    <w:abstractNumId w:val="6"/>
  </w:num>
  <w:num w:numId="12" w16cid:durableId="214044240">
    <w:abstractNumId w:val="5"/>
  </w:num>
  <w:num w:numId="13" w16cid:durableId="658925486">
    <w:abstractNumId w:val="4"/>
  </w:num>
  <w:num w:numId="14" w16cid:durableId="1252931581">
    <w:abstractNumId w:val="8"/>
  </w:num>
  <w:num w:numId="15" w16cid:durableId="372657819">
    <w:abstractNumId w:val="3"/>
  </w:num>
  <w:num w:numId="16" w16cid:durableId="674723877">
    <w:abstractNumId w:val="2"/>
  </w:num>
  <w:num w:numId="17" w16cid:durableId="2115400460">
    <w:abstractNumId w:val="1"/>
  </w:num>
  <w:num w:numId="18" w16cid:durableId="1611626947">
    <w:abstractNumId w:val="0"/>
  </w:num>
  <w:num w:numId="19" w16cid:durableId="530804839">
    <w:abstractNumId w:val="17"/>
  </w:num>
  <w:num w:numId="20" w16cid:durableId="1007639727">
    <w:abstractNumId w:val="12"/>
  </w:num>
  <w:num w:numId="21" w16cid:durableId="10415184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5B8"/>
    <w:rsid w:val="00011EE6"/>
    <w:rsid w:val="00064C73"/>
    <w:rsid w:val="00066C0E"/>
    <w:rsid w:val="0012172B"/>
    <w:rsid w:val="001824C8"/>
    <w:rsid w:val="00185059"/>
    <w:rsid w:val="0020707C"/>
    <w:rsid w:val="002711EF"/>
    <w:rsid w:val="0028150A"/>
    <w:rsid w:val="0028632A"/>
    <w:rsid w:val="002A0C22"/>
    <w:rsid w:val="002F5E50"/>
    <w:rsid w:val="00371772"/>
    <w:rsid w:val="003801E9"/>
    <w:rsid w:val="003A4EB9"/>
    <w:rsid w:val="003B5E10"/>
    <w:rsid w:val="004057B9"/>
    <w:rsid w:val="00415248"/>
    <w:rsid w:val="00415DB5"/>
    <w:rsid w:val="00423C60"/>
    <w:rsid w:val="0044141A"/>
    <w:rsid w:val="00465576"/>
    <w:rsid w:val="004674F7"/>
    <w:rsid w:val="00467EE1"/>
    <w:rsid w:val="00476192"/>
    <w:rsid w:val="004968FD"/>
    <w:rsid w:val="004A0A12"/>
    <w:rsid w:val="004C03C4"/>
    <w:rsid w:val="004D5C96"/>
    <w:rsid w:val="00512932"/>
    <w:rsid w:val="00662057"/>
    <w:rsid w:val="006D25B8"/>
    <w:rsid w:val="00721E73"/>
    <w:rsid w:val="00746A29"/>
    <w:rsid w:val="00746F9A"/>
    <w:rsid w:val="007608AB"/>
    <w:rsid w:val="00771A7E"/>
    <w:rsid w:val="007C4174"/>
    <w:rsid w:val="007E2606"/>
    <w:rsid w:val="00807BF1"/>
    <w:rsid w:val="00815CBC"/>
    <w:rsid w:val="00850A02"/>
    <w:rsid w:val="008551FD"/>
    <w:rsid w:val="008604D2"/>
    <w:rsid w:val="00867470"/>
    <w:rsid w:val="008A008A"/>
    <w:rsid w:val="008C219C"/>
    <w:rsid w:val="008E1ABE"/>
    <w:rsid w:val="009231A7"/>
    <w:rsid w:val="009403F1"/>
    <w:rsid w:val="00961E0A"/>
    <w:rsid w:val="009B33DF"/>
    <w:rsid w:val="009B3845"/>
    <w:rsid w:val="009F3C46"/>
    <w:rsid w:val="00A06A52"/>
    <w:rsid w:val="00A64AE0"/>
    <w:rsid w:val="00AB2443"/>
    <w:rsid w:val="00AF1902"/>
    <w:rsid w:val="00AF36F6"/>
    <w:rsid w:val="00B51D60"/>
    <w:rsid w:val="00B56008"/>
    <w:rsid w:val="00B579FD"/>
    <w:rsid w:val="00B617F7"/>
    <w:rsid w:val="00BD3AEE"/>
    <w:rsid w:val="00BD4197"/>
    <w:rsid w:val="00BE2BC3"/>
    <w:rsid w:val="00BE40D0"/>
    <w:rsid w:val="00BF12BC"/>
    <w:rsid w:val="00C16879"/>
    <w:rsid w:val="00C22348"/>
    <w:rsid w:val="00C56D1C"/>
    <w:rsid w:val="00C72813"/>
    <w:rsid w:val="00C82CFD"/>
    <w:rsid w:val="00CC003F"/>
    <w:rsid w:val="00CC3C4B"/>
    <w:rsid w:val="00CD48C6"/>
    <w:rsid w:val="00CD4CE3"/>
    <w:rsid w:val="00CE70A9"/>
    <w:rsid w:val="00D279AA"/>
    <w:rsid w:val="00D32907"/>
    <w:rsid w:val="00D4158A"/>
    <w:rsid w:val="00DD3B76"/>
    <w:rsid w:val="00DF4F14"/>
    <w:rsid w:val="00E162C0"/>
    <w:rsid w:val="00E845EC"/>
    <w:rsid w:val="00E977B1"/>
    <w:rsid w:val="00EA4E8F"/>
    <w:rsid w:val="00EB6598"/>
    <w:rsid w:val="00EC00B5"/>
    <w:rsid w:val="00F03037"/>
    <w:rsid w:val="00F169D5"/>
    <w:rsid w:val="00FB210F"/>
    <w:rsid w:val="00FD2137"/>
    <w:rsid w:val="00FF0D4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84706"/>
  <w15:chartTrackingRefBased/>
  <w15:docId w15:val="{D879DFBB-44D7-4276-A513-04BC0890D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25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25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25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25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25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25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25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25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25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5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25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25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25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25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25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25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25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25B8"/>
    <w:rPr>
      <w:rFonts w:eastAsiaTheme="majorEastAsia" w:cstheme="majorBidi"/>
      <w:color w:val="272727" w:themeColor="text1" w:themeTint="D8"/>
    </w:rPr>
  </w:style>
  <w:style w:type="paragraph" w:styleId="Title">
    <w:name w:val="Title"/>
    <w:basedOn w:val="Normal"/>
    <w:next w:val="Normal"/>
    <w:link w:val="TitleChar"/>
    <w:uiPriority w:val="10"/>
    <w:qFormat/>
    <w:rsid w:val="006D25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5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5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5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5B8"/>
    <w:pPr>
      <w:spacing w:before="160"/>
      <w:jc w:val="center"/>
    </w:pPr>
    <w:rPr>
      <w:i/>
      <w:iCs/>
      <w:color w:val="404040" w:themeColor="text1" w:themeTint="BF"/>
    </w:rPr>
  </w:style>
  <w:style w:type="character" w:customStyle="1" w:styleId="QuoteChar">
    <w:name w:val="Quote Char"/>
    <w:basedOn w:val="DefaultParagraphFont"/>
    <w:link w:val="Quote"/>
    <w:uiPriority w:val="29"/>
    <w:rsid w:val="006D25B8"/>
    <w:rPr>
      <w:i/>
      <w:iCs/>
      <w:color w:val="404040" w:themeColor="text1" w:themeTint="BF"/>
    </w:rPr>
  </w:style>
  <w:style w:type="paragraph" w:styleId="ListParagraph">
    <w:name w:val="List Paragraph"/>
    <w:basedOn w:val="Normal"/>
    <w:uiPriority w:val="34"/>
    <w:qFormat/>
    <w:rsid w:val="006D25B8"/>
    <w:pPr>
      <w:ind w:left="720"/>
      <w:contextualSpacing/>
    </w:pPr>
  </w:style>
  <w:style w:type="character" w:styleId="IntenseEmphasis">
    <w:name w:val="Intense Emphasis"/>
    <w:basedOn w:val="DefaultParagraphFont"/>
    <w:uiPriority w:val="21"/>
    <w:qFormat/>
    <w:rsid w:val="006D25B8"/>
    <w:rPr>
      <w:i/>
      <w:iCs/>
      <w:color w:val="0F4761" w:themeColor="accent1" w:themeShade="BF"/>
    </w:rPr>
  </w:style>
  <w:style w:type="paragraph" w:styleId="IntenseQuote">
    <w:name w:val="Intense Quote"/>
    <w:basedOn w:val="Normal"/>
    <w:next w:val="Normal"/>
    <w:link w:val="IntenseQuoteChar"/>
    <w:uiPriority w:val="30"/>
    <w:qFormat/>
    <w:rsid w:val="006D25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25B8"/>
    <w:rPr>
      <w:i/>
      <w:iCs/>
      <w:color w:val="0F4761" w:themeColor="accent1" w:themeShade="BF"/>
    </w:rPr>
  </w:style>
  <w:style w:type="character" w:styleId="IntenseReference">
    <w:name w:val="Intense Reference"/>
    <w:basedOn w:val="DefaultParagraphFont"/>
    <w:uiPriority w:val="32"/>
    <w:qFormat/>
    <w:rsid w:val="006D25B8"/>
    <w:rPr>
      <w:b/>
      <w:bCs/>
      <w:smallCaps/>
      <w:color w:val="0F4761" w:themeColor="accent1" w:themeShade="BF"/>
      <w:spacing w:val="5"/>
    </w:rPr>
  </w:style>
  <w:style w:type="paragraph" w:styleId="TableofFigures">
    <w:name w:val="table of figures"/>
    <w:basedOn w:val="Normal"/>
    <w:next w:val="Normal"/>
    <w:uiPriority w:val="99"/>
    <w:semiHidden/>
    <w:unhideWhenUsed/>
    <w:rsid w:val="00662057"/>
    <w:pPr>
      <w:spacing w:after="0"/>
    </w:pPr>
  </w:style>
  <w:style w:type="paragraph" w:styleId="Salutation">
    <w:name w:val="Salutation"/>
    <w:basedOn w:val="Normal"/>
    <w:next w:val="Normal"/>
    <w:link w:val="SalutationChar"/>
    <w:uiPriority w:val="99"/>
    <w:semiHidden/>
    <w:unhideWhenUsed/>
    <w:rsid w:val="00662057"/>
  </w:style>
  <w:style w:type="character" w:customStyle="1" w:styleId="SalutationChar">
    <w:name w:val="Salutation Char"/>
    <w:basedOn w:val="DefaultParagraphFont"/>
    <w:link w:val="Salutation"/>
    <w:uiPriority w:val="99"/>
    <w:semiHidden/>
    <w:rsid w:val="00662057"/>
  </w:style>
  <w:style w:type="paragraph" w:styleId="ListBullet">
    <w:name w:val="List Bullet"/>
    <w:basedOn w:val="Normal"/>
    <w:uiPriority w:val="99"/>
    <w:semiHidden/>
    <w:unhideWhenUsed/>
    <w:rsid w:val="00662057"/>
    <w:pPr>
      <w:numPr>
        <w:numId w:val="9"/>
      </w:numPr>
      <w:contextualSpacing/>
    </w:pPr>
  </w:style>
  <w:style w:type="paragraph" w:styleId="ListBullet2">
    <w:name w:val="List Bullet 2"/>
    <w:basedOn w:val="Normal"/>
    <w:uiPriority w:val="99"/>
    <w:semiHidden/>
    <w:unhideWhenUsed/>
    <w:rsid w:val="00662057"/>
    <w:pPr>
      <w:numPr>
        <w:numId w:val="10"/>
      </w:numPr>
      <w:contextualSpacing/>
    </w:pPr>
  </w:style>
  <w:style w:type="paragraph" w:styleId="ListBullet3">
    <w:name w:val="List Bullet 3"/>
    <w:basedOn w:val="Normal"/>
    <w:uiPriority w:val="99"/>
    <w:semiHidden/>
    <w:unhideWhenUsed/>
    <w:rsid w:val="00662057"/>
    <w:pPr>
      <w:numPr>
        <w:numId w:val="11"/>
      </w:numPr>
      <w:contextualSpacing/>
    </w:pPr>
  </w:style>
  <w:style w:type="paragraph" w:styleId="ListBullet4">
    <w:name w:val="List Bullet 4"/>
    <w:basedOn w:val="Normal"/>
    <w:uiPriority w:val="99"/>
    <w:semiHidden/>
    <w:unhideWhenUsed/>
    <w:rsid w:val="00662057"/>
    <w:pPr>
      <w:numPr>
        <w:numId w:val="12"/>
      </w:numPr>
      <w:contextualSpacing/>
    </w:pPr>
  </w:style>
  <w:style w:type="paragraph" w:styleId="ListBullet5">
    <w:name w:val="List Bullet 5"/>
    <w:basedOn w:val="Normal"/>
    <w:uiPriority w:val="99"/>
    <w:semiHidden/>
    <w:unhideWhenUsed/>
    <w:rsid w:val="00662057"/>
    <w:pPr>
      <w:numPr>
        <w:numId w:val="13"/>
      </w:numPr>
      <w:contextualSpacing/>
    </w:pPr>
  </w:style>
  <w:style w:type="paragraph" w:styleId="Caption">
    <w:name w:val="caption"/>
    <w:basedOn w:val="Normal"/>
    <w:next w:val="Normal"/>
    <w:uiPriority w:val="35"/>
    <w:semiHidden/>
    <w:unhideWhenUsed/>
    <w:qFormat/>
    <w:rsid w:val="00662057"/>
    <w:pPr>
      <w:spacing w:after="200" w:line="240" w:lineRule="auto"/>
    </w:pPr>
    <w:rPr>
      <w:i/>
      <w:iCs/>
      <w:color w:val="0E2841" w:themeColor="text2"/>
      <w:sz w:val="18"/>
      <w:szCs w:val="18"/>
    </w:rPr>
  </w:style>
  <w:style w:type="paragraph" w:styleId="BlockText">
    <w:name w:val="Block Text"/>
    <w:basedOn w:val="Normal"/>
    <w:uiPriority w:val="99"/>
    <w:semiHidden/>
    <w:unhideWhenUsed/>
    <w:rsid w:val="00662057"/>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eastAsiaTheme="minorEastAsia"/>
      <w:i/>
      <w:iCs/>
      <w:color w:val="156082" w:themeColor="accent1"/>
    </w:rPr>
  </w:style>
  <w:style w:type="paragraph" w:styleId="Date">
    <w:name w:val="Date"/>
    <w:basedOn w:val="Normal"/>
    <w:next w:val="Normal"/>
    <w:link w:val="DateChar"/>
    <w:uiPriority w:val="99"/>
    <w:semiHidden/>
    <w:unhideWhenUsed/>
    <w:rsid w:val="00662057"/>
  </w:style>
  <w:style w:type="character" w:customStyle="1" w:styleId="DateChar">
    <w:name w:val="Date Char"/>
    <w:basedOn w:val="DefaultParagraphFont"/>
    <w:link w:val="Date"/>
    <w:uiPriority w:val="99"/>
    <w:semiHidden/>
    <w:rsid w:val="00662057"/>
  </w:style>
  <w:style w:type="paragraph" w:styleId="DocumentMap">
    <w:name w:val="Document Map"/>
    <w:basedOn w:val="Normal"/>
    <w:link w:val="DocumentMapChar"/>
    <w:uiPriority w:val="99"/>
    <w:semiHidden/>
    <w:unhideWhenUsed/>
    <w:rsid w:val="0066205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62057"/>
    <w:rPr>
      <w:rFonts w:ascii="Segoe UI" w:hAnsi="Segoe UI" w:cs="Segoe UI"/>
      <w:sz w:val="16"/>
      <w:szCs w:val="16"/>
    </w:rPr>
  </w:style>
  <w:style w:type="paragraph" w:styleId="EmailSignature">
    <w:name w:val="E-mail Signature"/>
    <w:basedOn w:val="Normal"/>
    <w:link w:val="EmailSignatureChar"/>
    <w:uiPriority w:val="99"/>
    <w:semiHidden/>
    <w:unhideWhenUsed/>
    <w:rsid w:val="00662057"/>
    <w:pPr>
      <w:spacing w:after="0" w:line="240" w:lineRule="auto"/>
    </w:pPr>
  </w:style>
  <w:style w:type="character" w:customStyle="1" w:styleId="EmailSignatureChar">
    <w:name w:val="Email Signature Char"/>
    <w:basedOn w:val="DefaultParagraphFont"/>
    <w:link w:val="EmailSignature"/>
    <w:uiPriority w:val="99"/>
    <w:semiHidden/>
    <w:rsid w:val="00662057"/>
  </w:style>
  <w:style w:type="paragraph" w:styleId="EndnoteText">
    <w:name w:val="endnote text"/>
    <w:basedOn w:val="Normal"/>
    <w:link w:val="EndnoteTextChar"/>
    <w:uiPriority w:val="99"/>
    <w:semiHidden/>
    <w:unhideWhenUsed/>
    <w:rsid w:val="0066205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62057"/>
    <w:rPr>
      <w:sz w:val="20"/>
      <w:szCs w:val="20"/>
    </w:rPr>
  </w:style>
  <w:style w:type="paragraph" w:styleId="NoteHeading">
    <w:name w:val="Note Heading"/>
    <w:basedOn w:val="Normal"/>
    <w:next w:val="Normal"/>
    <w:link w:val="NoteHeadingChar"/>
    <w:uiPriority w:val="99"/>
    <w:semiHidden/>
    <w:unhideWhenUsed/>
    <w:rsid w:val="00662057"/>
    <w:pPr>
      <w:spacing w:after="0" w:line="240" w:lineRule="auto"/>
    </w:pPr>
  </w:style>
  <w:style w:type="character" w:customStyle="1" w:styleId="NoteHeadingChar">
    <w:name w:val="Note Heading Char"/>
    <w:basedOn w:val="DefaultParagraphFont"/>
    <w:link w:val="NoteHeading"/>
    <w:uiPriority w:val="99"/>
    <w:semiHidden/>
    <w:rsid w:val="00662057"/>
  </w:style>
  <w:style w:type="paragraph" w:styleId="FootnoteText">
    <w:name w:val="footnote text"/>
    <w:basedOn w:val="Normal"/>
    <w:link w:val="FootnoteTextChar"/>
    <w:uiPriority w:val="99"/>
    <w:semiHidden/>
    <w:unhideWhenUsed/>
    <w:rsid w:val="006620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2057"/>
    <w:rPr>
      <w:sz w:val="20"/>
      <w:szCs w:val="20"/>
    </w:rPr>
  </w:style>
  <w:style w:type="paragraph" w:styleId="Footer">
    <w:name w:val="footer"/>
    <w:basedOn w:val="Normal"/>
    <w:link w:val="FooterChar"/>
    <w:uiPriority w:val="99"/>
    <w:unhideWhenUsed/>
    <w:rsid w:val="006620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62057"/>
  </w:style>
  <w:style w:type="paragraph" w:styleId="Closing">
    <w:name w:val="Closing"/>
    <w:basedOn w:val="Normal"/>
    <w:link w:val="ClosingChar"/>
    <w:uiPriority w:val="99"/>
    <w:semiHidden/>
    <w:unhideWhenUsed/>
    <w:rsid w:val="00662057"/>
    <w:pPr>
      <w:spacing w:after="0" w:line="240" w:lineRule="auto"/>
      <w:ind w:left="4252"/>
    </w:pPr>
  </w:style>
  <w:style w:type="character" w:customStyle="1" w:styleId="ClosingChar">
    <w:name w:val="Closing Char"/>
    <w:basedOn w:val="DefaultParagraphFont"/>
    <w:link w:val="Closing"/>
    <w:uiPriority w:val="99"/>
    <w:semiHidden/>
    <w:rsid w:val="00662057"/>
  </w:style>
  <w:style w:type="paragraph" w:styleId="HTMLAddress">
    <w:name w:val="HTML Address"/>
    <w:basedOn w:val="Normal"/>
    <w:link w:val="HTMLAddressChar"/>
    <w:uiPriority w:val="99"/>
    <w:semiHidden/>
    <w:unhideWhenUsed/>
    <w:rsid w:val="00662057"/>
    <w:pPr>
      <w:spacing w:after="0" w:line="240" w:lineRule="auto"/>
    </w:pPr>
    <w:rPr>
      <w:i/>
      <w:iCs/>
    </w:rPr>
  </w:style>
  <w:style w:type="character" w:customStyle="1" w:styleId="HTMLAddressChar">
    <w:name w:val="HTML Address Char"/>
    <w:basedOn w:val="DefaultParagraphFont"/>
    <w:link w:val="HTMLAddress"/>
    <w:uiPriority w:val="99"/>
    <w:semiHidden/>
    <w:rsid w:val="00662057"/>
    <w:rPr>
      <w:i/>
      <w:iCs/>
    </w:rPr>
  </w:style>
  <w:style w:type="paragraph" w:styleId="HTMLPreformatted">
    <w:name w:val="HTML Preformatted"/>
    <w:basedOn w:val="Normal"/>
    <w:link w:val="HTMLPreformattedChar"/>
    <w:uiPriority w:val="99"/>
    <w:semiHidden/>
    <w:unhideWhenUsed/>
    <w:rsid w:val="0066205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62057"/>
    <w:rPr>
      <w:rFonts w:ascii="Consolas" w:hAnsi="Consolas"/>
      <w:sz w:val="20"/>
      <w:szCs w:val="20"/>
    </w:rPr>
  </w:style>
  <w:style w:type="paragraph" w:styleId="Index1">
    <w:name w:val="index 1"/>
    <w:basedOn w:val="Normal"/>
    <w:next w:val="Normal"/>
    <w:uiPriority w:val="99"/>
    <w:semiHidden/>
    <w:unhideWhenUsed/>
    <w:rsid w:val="00662057"/>
    <w:pPr>
      <w:spacing w:after="0" w:line="240" w:lineRule="auto"/>
      <w:ind w:left="220" w:hanging="220"/>
    </w:pPr>
  </w:style>
  <w:style w:type="paragraph" w:styleId="Index2">
    <w:name w:val="index 2"/>
    <w:basedOn w:val="Normal"/>
    <w:next w:val="Normal"/>
    <w:uiPriority w:val="99"/>
    <w:semiHidden/>
    <w:unhideWhenUsed/>
    <w:rsid w:val="00662057"/>
    <w:pPr>
      <w:spacing w:after="0" w:line="240" w:lineRule="auto"/>
      <w:ind w:left="440" w:hanging="220"/>
    </w:pPr>
  </w:style>
  <w:style w:type="paragraph" w:styleId="Index3">
    <w:name w:val="index 3"/>
    <w:basedOn w:val="Normal"/>
    <w:next w:val="Normal"/>
    <w:uiPriority w:val="99"/>
    <w:semiHidden/>
    <w:unhideWhenUsed/>
    <w:rsid w:val="00662057"/>
    <w:pPr>
      <w:spacing w:after="0" w:line="240" w:lineRule="auto"/>
      <w:ind w:left="660" w:hanging="220"/>
    </w:pPr>
  </w:style>
  <w:style w:type="paragraph" w:styleId="Index4">
    <w:name w:val="index 4"/>
    <w:basedOn w:val="Normal"/>
    <w:next w:val="Normal"/>
    <w:uiPriority w:val="99"/>
    <w:semiHidden/>
    <w:unhideWhenUsed/>
    <w:rsid w:val="00662057"/>
    <w:pPr>
      <w:spacing w:after="0" w:line="240" w:lineRule="auto"/>
      <w:ind w:left="880" w:hanging="220"/>
    </w:pPr>
  </w:style>
  <w:style w:type="paragraph" w:styleId="Index5">
    <w:name w:val="index 5"/>
    <w:basedOn w:val="Normal"/>
    <w:next w:val="Normal"/>
    <w:uiPriority w:val="99"/>
    <w:semiHidden/>
    <w:unhideWhenUsed/>
    <w:rsid w:val="00662057"/>
    <w:pPr>
      <w:spacing w:after="0" w:line="240" w:lineRule="auto"/>
      <w:ind w:left="1100" w:hanging="220"/>
    </w:pPr>
  </w:style>
  <w:style w:type="paragraph" w:styleId="Index6">
    <w:name w:val="index 6"/>
    <w:basedOn w:val="Normal"/>
    <w:next w:val="Normal"/>
    <w:uiPriority w:val="99"/>
    <w:semiHidden/>
    <w:unhideWhenUsed/>
    <w:rsid w:val="00662057"/>
    <w:pPr>
      <w:spacing w:after="0" w:line="240" w:lineRule="auto"/>
      <w:ind w:left="1320" w:hanging="220"/>
    </w:pPr>
  </w:style>
  <w:style w:type="paragraph" w:styleId="Index7">
    <w:name w:val="index 7"/>
    <w:basedOn w:val="Normal"/>
    <w:next w:val="Normal"/>
    <w:uiPriority w:val="99"/>
    <w:semiHidden/>
    <w:unhideWhenUsed/>
    <w:rsid w:val="00662057"/>
    <w:pPr>
      <w:spacing w:after="0" w:line="240" w:lineRule="auto"/>
      <w:ind w:left="1540" w:hanging="220"/>
    </w:pPr>
  </w:style>
  <w:style w:type="paragraph" w:styleId="Index8">
    <w:name w:val="index 8"/>
    <w:basedOn w:val="Normal"/>
    <w:next w:val="Normal"/>
    <w:uiPriority w:val="99"/>
    <w:semiHidden/>
    <w:unhideWhenUsed/>
    <w:rsid w:val="00662057"/>
    <w:pPr>
      <w:spacing w:after="0" w:line="240" w:lineRule="auto"/>
      <w:ind w:left="1760" w:hanging="220"/>
    </w:pPr>
  </w:style>
  <w:style w:type="paragraph" w:styleId="Index9">
    <w:name w:val="index 9"/>
    <w:basedOn w:val="Normal"/>
    <w:next w:val="Normal"/>
    <w:uiPriority w:val="99"/>
    <w:semiHidden/>
    <w:unhideWhenUsed/>
    <w:rsid w:val="00662057"/>
    <w:pPr>
      <w:spacing w:after="0" w:line="240" w:lineRule="auto"/>
      <w:ind w:left="1980" w:hanging="220"/>
    </w:pPr>
  </w:style>
  <w:style w:type="paragraph" w:styleId="IndexHeading">
    <w:name w:val="index heading"/>
    <w:basedOn w:val="Normal"/>
    <w:next w:val="Index1"/>
    <w:uiPriority w:val="99"/>
    <w:semiHidden/>
    <w:unhideWhenUsed/>
    <w:rsid w:val="00662057"/>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662057"/>
    <w:pPr>
      <w:spacing w:before="240" w:after="0"/>
      <w:outlineLvl w:val="9"/>
    </w:pPr>
    <w:rPr>
      <w:sz w:val="32"/>
      <w:szCs w:val="32"/>
    </w:rPr>
  </w:style>
  <w:style w:type="paragraph" w:styleId="NoSpacing">
    <w:name w:val="No Spacing"/>
    <w:uiPriority w:val="1"/>
    <w:qFormat/>
    <w:rsid w:val="00662057"/>
    <w:pPr>
      <w:spacing w:after="0" w:line="240" w:lineRule="auto"/>
    </w:pPr>
  </w:style>
  <w:style w:type="paragraph" w:styleId="CommentText">
    <w:name w:val="annotation text"/>
    <w:basedOn w:val="Normal"/>
    <w:link w:val="CommentTextChar"/>
    <w:uiPriority w:val="99"/>
    <w:unhideWhenUsed/>
    <w:rsid w:val="00662057"/>
    <w:pPr>
      <w:spacing w:line="240" w:lineRule="auto"/>
    </w:pPr>
    <w:rPr>
      <w:sz w:val="20"/>
      <w:szCs w:val="20"/>
    </w:rPr>
  </w:style>
  <w:style w:type="character" w:customStyle="1" w:styleId="CommentTextChar">
    <w:name w:val="Comment Text Char"/>
    <w:basedOn w:val="DefaultParagraphFont"/>
    <w:link w:val="CommentText"/>
    <w:uiPriority w:val="99"/>
    <w:rsid w:val="00662057"/>
    <w:rPr>
      <w:sz w:val="20"/>
      <w:szCs w:val="20"/>
    </w:rPr>
  </w:style>
  <w:style w:type="paragraph" w:styleId="CommentSubject">
    <w:name w:val="annotation subject"/>
    <w:basedOn w:val="CommentText"/>
    <w:next w:val="CommentText"/>
    <w:link w:val="CommentSubjectChar"/>
    <w:uiPriority w:val="99"/>
    <w:semiHidden/>
    <w:unhideWhenUsed/>
    <w:rsid w:val="00662057"/>
    <w:rPr>
      <w:b/>
      <w:bCs/>
    </w:rPr>
  </w:style>
  <w:style w:type="character" w:customStyle="1" w:styleId="CommentSubjectChar">
    <w:name w:val="Comment Subject Char"/>
    <w:basedOn w:val="CommentTextChar"/>
    <w:link w:val="CommentSubject"/>
    <w:uiPriority w:val="99"/>
    <w:semiHidden/>
    <w:rsid w:val="00662057"/>
    <w:rPr>
      <w:b/>
      <w:bCs/>
      <w:sz w:val="20"/>
      <w:szCs w:val="20"/>
    </w:rPr>
  </w:style>
  <w:style w:type="paragraph" w:styleId="Header">
    <w:name w:val="header"/>
    <w:basedOn w:val="Normal"/>
    <w:link w:val="HeaderChar"/>
    <w:uiPriority w:val="99"/>
    <w:unhideWhenUsed/>
    <w:rsid w:val="006620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62057"/>
  </w:style>
  <w:style w:type="paragraph" w:styleId="List">
    <w:name w:val="List"/>
    <w:basedOn w:val="Normal"/>
    <w:uiPriority w:val="99"/>
    <w:semiHidden/>
    <w:unhideWhenUsed/>
    <w:rsid w:val="00662057"/>
    <w:pPr>
      <w:ind w:left="283" w:hanging="283"/>
      <w:contextualSpacing/>
    </w:pPr>
  </w:style>
  <w:style w:type="paragraph" w:styleId="List2">
    <w:name w:val="List 2"/>
    <w:basedOn w:val="Normal"/>
    <w:uiPriority w:val="99"/>
    <w:semiHidden/>
    <w:unhideWhenUsed/>
    <w:rsid w:val="00662057"/>
    <w:pPr>
      <w:ind w:left="566" w:hanging="283"/>
      <w:contextualSpacing/>
    </w:pPr>
  </w:style>
  <w:style w:type="paragraph" w:styleId="List3">
    <w:name w:val="List 3"/>
    <w:basedOn w:val="Normal"/>
    <w:uiPriority w:val="99"/>
    <w:semiHidden/>
    <w:unhideWhenUsed/>
    <w:rsid w:val="00662057"/>
    <w:pPr>
      <w:ind w:left="849" w:hanging="283"/>
      <w:contextualSpacing/>
    </w:pPr>
  </w:style>
  <w:style w:type="paragraph" w:styleId="List4">
    <w:name w:val="List 4"/>
    <w:basedOn w:val="Normal"/>
    <w:uiPriority w:val="99"/>
    <w:semiHidden/>
    <w:unhideWhenUsed/>
    <w:rsid w:val="00662057"/>
    <w:pPr>
      <w:ind w:left="1132" w:hanging="283"/>
      <w:contextualSpacing/>
    </w:pPr>
  </w:style>
  <w:style w:type="paragraph" w:styleId="List5">
    <w:name w:val="List 5"/>
    <w:basedOn w:val="Normal"/>
    <w:uiPriority w:val="99"/>
    <w:semiHidden/>
    <w:unhideWhenUsed/>
    <w:rsid w:val="00662057"/>
    <w:pPr>
      <w:ind w:left="1415" w:hanging="283"/>
      <w:contextualSpacing/>
    </w:pPr>
  </w:style>
  <w:style w:type="paragraph" w:styleId="ListContinue">
    <w:name w:val="List Continue"/>
    <w:basedOn w:val="Normal"/>
    <w:uiPriority w:val="99"/>
    <w:semiHidden/>
    <w:unhideWhenUsed/>
    <w:rsid w:val="00662057"/>
    <w:pPr>
      <w:spacing w:after="120"/>
      <w:ind w:left="283"/>
      <w:contextualSpacing/>
    </w:pPr>
  </w:style>
  <w:style w:type="paragraph" w:styleId="ListContinue2">
    <w:name w:val="List Continue 2"/>
    <w:basedOn w:val="Normal"/>
    <w:uiPriority w:val="99"/>
    <w:semiHidden/>
    <w:unhideWhenUsed/>
    <w:rsid w:val="00662057"/>
    <w:pPr>
      <w:spacing w:after="120"/>
      <w:ind w:left="566"/>
      <w:contextualSpacing/>
    </w:pPr>
  </w:style>
  <w:style w:type="paragraph" w:styleId="ListContinue3">
    <w:name w:val="List Continue 3"/>
    <w:basedOn w:val="Normal"/>
    <w:uiPriority w:val="99"/>
    <w:semiHidden/>
    <w:unhideWhenUsed/>
    <w:rsid w:val="00662057"/>
    <w:pPr>
      <w:spacing w:after="120"/>
      <w:ind w:left="849"/>
      <w:contextualSpacing/>
    </w:pPr>
  </w:style>
  <w:style w:type="paragraph" w:styleId="ListContinue4">
    <w:name w:val="List Continue 4"/>
    <w:basedOn w:val="Normal"/>
    <w:uiPriority w:val="99"/>
    <w:semiHidden/>
    <w:unhideWhenUsed/>
    <w:rsid w:val="00662057"/>
    <w:pPr>
      <w:spacing w:after="120"/>
      <w:ind w:left="1132"/>
      <w:contextualSpacing/>
    </w:pPr>
  </w:style>
  <w:style w:type="paragraph" w:styleId="ListContinue5">
    <w:name w:val="List Continue 5"/>
    <w:basedOn w:val="Normal"/>
    <w:uiPriority w:val="99"/>
    <w:semiHidden/>
    <w:unhideWhenUsed/>
    <w:rsid w:val="00662057"/>
    <w:pPr>
      <w:spacing w:after="120"/>
      <w:ind w:left="1415"/>
      <w:contextualSpacing/>
    </w:pPr>
  </w:style>
  <w:style w:type="paragraph" w:styleId="ListNumber">
    <w:name w:val="List Number"/>
    <w:basedOn w:val="Normal"/>
    <w:uiPriority w:val="99"/>
    <w:semiHidden/>
    <w:unhideWhenUsed/>
    <w:rsid w:val="00662057"/>
    <w:pPr>
      <w:numPr>
        <w:numId w:val="14"/>
      </w:numPr>
      <w:contextualSpacing/>
    </w:pPr>
  </w:style>
  <w:style w:type="paragraph" w:styleId="ListNumber2">
    <w:name w:val="List Number 2"/>
    <w:basedOn w:val="Normal"/>
    <w:uiPriority w:val="99"/>
    <w:semiHidden/>
    <w:unhideWhenUsed/>
    <w:rsid w:val="00662057"/>
    <w:pPr>
      <w:numPr>
        <w:numId w:val="15"/>
      </w:numPr>
      <w:contextualSpacing/>
    </w:pPr>
  </w:style>
  <w:style w:type="paragraph" w:styleId="ListNumber3">
    <w:name w:val="List Number 3"/>
    <w:basedOn w:val="Normal"/>
    <w:uiPriority w:val="99"/>
    <w:semiHidden/>
    <w:unhideWhenUsed/>
    <w:rsid w:val="00662057"/>
    <w:pPr>
      <w:numPr>
        <w:numId w:val="16"/>
      </w:numPr>
      <w:contextualSpacing/>
    </w:pPr>
  </w:style>
  <w:style w:type="paragraph" w:styleId="ListNumber4">
    <w:name w:val="List Number 4"/>
    <w:basedOn w:val="Normal"/>
    <w:uiPriority w:val="99"/>
    <w:semiHidden/>
    <w:unhideWhenUsed/>
    <w:rsid w:val="00662057"/>
    <w:pPr>
      <w:numPr>
        <w:numId w:val="17"/>
      </w:numPr>
      <w:contextualSpacing/>
    </w:pPr>
  </w:style>
  <w:style w:type="paragraph" w:styleId="ListNumber5">
    <w:name w:val="List Number 5"/>
    <w:basedOn w:val="Normal"/>
    <w:uiPriority w:val="99"/>
    <w:semiHidden/>
    <w:unhideWhenUsed/>
    <w:rsid w:val="00662057"/>
    <w:pPr>
      <w:numPr>
        <w:numId w:val="18"/>
      </w:numPr>
      <w:contextualSpacing/>
    </w:pPr>
  </w:style>
  <w:style w:type="paragraph" w:styleId="Bibliography">
    <w:name w:val="Bibliography"/>
    <w:basedOn w:val="Normal"/>
    <w:next w:val="Normal"/>
    <w:uiPriority w:val="37"/>
    <w:semiHidden/>
    <w:unhideWhenUsed/>
    <w:rsid w:val="00662057"/>
  </w:style>
  <w:style w:type="paragraph" w:styleId="MacroText">
    <w:name w:val="macro"/>
    <w:link w:val="MacroTextChar"/>
    <w:uiPriority w:val="99"/>
    <w:semiHidden/>
    <w:unhideWhenUsed/>
    <w:rsid w:val="0066205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662057"/>
    <w:rPr>
      <w:rFonts w:ascii="Consolas" w:hAnsi="Consolas"/>
      <w:sz w:val="20"/>
      <w:szCs w:val="20"/>
    </w:rPr>
  </w:style>
  <w:style w:type="paragraph" w:styleId="MessageHeader">
    <w:name w:val="Message Header"/>
    <w:basedOn w:val="Normal"/>
    <w:link w:val="MessageHeaderChar"/>
    <w:uiPriority w:val="99"/>
    <w:semiHidden/>
    <w:unhideWhenUsed/>
    <w:rsid w:val="0066205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62057"/>
    <w:rPr>
      <w:rFonts w:asciiTheme="majorHAnsi" w:eastAsiaTheme="majorEastAsia" w:hAnsiTheme="majorHAnsi" w:cstheme="majorBidi"/>
      <w:sz w:val="24"/>
      <w:szCs w:val="24"/>
      <w:shd w:val="pct20" w:color="auto" w:fill="auto"/>
    </w:rPr>
  </w:style>
  <w:style w:type="paragraph" w:styleId="PlainText">
    <w:name w:val="Plain Text"/>
    <w:basedOn w:val="Normal"/>
    <w:link w:val="PlainTextChar"/>
    <w:uiPriority w:val="99"/>
    <w:semiHidden/>
    <w:unhideWhenUsed/>
    <w:rsid w:val="0066205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62057"/>
    <w:rPr>
      <w:rFonts w:ascii="Consolas" w:hAnsi="Consolas"/>
      <w:sz w:val="21"/>
      <w:szCs w:val="21"/>
    </w:rPr>
  </w:style>
  <w:style w:type="paragraph" w:styleId="TableofAuthorities">
    <w:name w:val="table of authorities"/>
    <w:basedOn w:val="Normal"/>
    <w:next w:val="Normal"/>
    <w:uiPriority w:val="99"/>
    <w:semiHidden/>
    <w:unhideWhenUsed/>
    <w:rsid w:val="00662057"/>
    <w:pPr>
      <w:spacing w:after="0"/>
      <w:ind w:left="220" w:hanging="220"/>
    </w:pPr>
  </w:style>
  <w:style w:type="paragraph" w:styleId="TOAHeading">
    <w:name w:val="toa heading"/>
    <w:basedOn w:val="Normal"/>
    <w:next w:val="Normal"/>
    <w:uiPriority w:val="99"/>
    <w:semiHidden/>
    <w:unhideWhenUsed/>
    <w:rsid w:val="00662057"/>
    <w:pPr>
      <w:spacing w:before="120"/>
    </w:pPr>
    <w:rPr>
      <w:rFonts w:asciiTheme="majorHAnsi" w:eastAsiaTheme="majorEastAsia" w:hAnsiTheme="majorHAnsi" w:cstheme="majorBidi"/>
      <w:b/>
      <w:bCs/>
      <w:sz w:val="24"/>
      <w:szCs w:val="24"/>
    </w:rPr>
  </w:style>
  <w:style w:type="paragraph" w:styleId="BalloonText">
    <w:name w:val="Balloon Text"/>
    <w:basedOn w:val="Normal"/>
    <w:link w:val="BalloonTextChar"/>
    <w:uiPriority w:val="99"/>
    <w:semiHidden/>
    <w:unhideWhenUsed/>
    <w:rsid w:val="00662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057"/>
    <w:rPr>
      <w:rFonts w:ascii="Segoe UI" w:hAnsi="Segoe UI" w:cs="Segoe UI"/>
      <w:sz w:val="18"/>
      <w:szCs w:val="18"/>
    </w:rPr>
  </w:style>
  <w:style w:type="paragraph" w:styleId="NormalWeb">
    <w:name w:val="Normal (Web)"/>
    <w:basedOn w:val="Normal"/>
    <w:uiPriority w:val="99"/>
    <w:semiHidden/>
    <w:unhideWhenUsed/>
    <w:rsid w:val="00662057"/>
    <w:rPr>
      <w:rFonts w:ascii="Times New Roman" w:hAnsi="Times New Roman" w:cs="Times New Roman"/>
      <w:sz w:val="24"/>
      <w:szCs w:val="24"/>
    </w:rPr>
  </w:style>
  <w:style w:type="paragraph" w:styleId="NormalIndent">
    <w:name w:val="Normal Indent"/>
    <w:basedOn w:val="Normal"/>
    <w:uiPriority w:val="99"/>
    <w:semiHidden/>
    <w:unhideWhenUsed/>
    <w:rsid w:val="00662057"/>
    <w:pPr>
      <w:ind w:left="708"/>
    </w:pPr>
  </w:style>
  <w:style w:type="paragraph" w:styleId="BodyText">
    <w:name w:val="Body Text"/>
    <w:basedOn w:val="Normal"/>
    <w:link w:val="BodyTextChar"/>
    <w:uiPriority w:val="99"/>
    <w:unhideWhenUsed/>
    <w:rsid w:val="00662057"/>
    <w:pPr>
      <w:spacing w:after="120"/>
    </w:pPr>
  </w:style>
  <w:style w:type="character" w:customStyle="1" w:styleId="BodyTextChar">
    <w:name w:val="Body Text Char"/>
    <w:basedOn w:val="DefaultParagraphFont"/>
    <w:link w:val="BodyText"/>
    <w:uiPriority w:val="99"/>
    <w:rsid w:val="00662057"/>
  </w:style>
  <w:style w:type="paragraph" w:styleId="BodyText2">
    <w:name w:val="Body Text 2"/>
    <w:basedOn w:val="Normal"/>
    <w:link w:val="BodyText2Char"/>
    <w:uiPriority w:val="99"/>
    <w:semiHidden/>
    <w:unhideWhenUsed/>
    <w:rsid w:val="00662057"/>
    <w:pPr>
      <w:spacing w:after="120" w:line="480" w:lineRule="auto"/>
    </w:pPr>
  </w:style>
  <w:style w:type="character" w:customStyle="1" w:styleId="BodyText2Char">
    <w:name w:val="Body Text 2 Char"/>
    <w:basedOn w:val="DefaultParagraphFont"/>
    <w:link w:val="BodyText2"/>
    <w:uiPriority w:val="99"/>
    <w:semiHidden/>
    <w:rsid w:val="00662057"/>
  </w:style>
  <w:style w:type="paragraph" w:styleId="BodyText3">
    <w:name w:val="Body Text 3"/>
    <w:basedOn w:val="Normal"/>
    <w:link w:val="BodyText3Char"/>
    <w:uiPriority w:val="99"/>
    <w:semiHidden/>
    <w:unhideWhenUsed/>
    <w:rsid w:val="00662057"/>
    <w:pPr>
      <w:spacing w:after="120"/>
    </w:pPr>
    <w:rPr>
      <w:sz w:val="16"/>
      <w:szCs w:val="16"/>
    </w:rPr>
  </w:style>
  <w:style w:type="character" w:customStyle="1" w:styleId="BodyText3Char">
    <w:name w:val="Body Text 3 Char"/>
    <w:basedOn w:val="DefaultParagraphFont"/>
    <w:link w:val="BodyText3"/>
    <w:uiPriority w:val="99"/>
    <w:semiHidden/>
    <w:rsid w:val="00662057"/>
    <w:rPr>
      <w:sz w:val="16"/>
      <w:szCs w:val="16"/>
    </w:rPr>
  </w:style>
  <w:style w:type="paragraph" w:styleId="BodyTextIndent2">
    <w:name w:val="Body Text Indent 2"/>
    <w:basedOn w:val="Normal"/>
    <w:link w:val="BodyTextIndent2Char"/>
    <w:uiPriority w:val="99"/>
    <w:semiHidden/>
    <w:unhideWhenUsed/>
    <w:rsid w:val="00662057"/>
    <w:pPr>
      <w:spacing w:after="120" w:line="480" w:lineRule="auto"/>
      <w:ind w:left="283"/>
    </w:pPr>
  </w:style>
  <w:style w:type="character" w:customStyle="1" w:styleId="BodyTextIndent2Char">
    <w:name w:val="Body Text Indent 2 Char"/>
    <w:basedOn w:val="DefaultParagraphFont"/>
    <w:link w:val="BodyTextIndent2"/>
    <w:uiPriority w:val="99"/>
    <w:semiHidden/>
    <w:rsid w:val="00662057"/>
  </w:style>
  <w:style w:type="paragraph" w:styleId="BodyTextIndent3">
    <w:name w:val="Body Text Indent 3"/>
    <w:basedOn w:val="Normal"/>
    <w:link w:val="BodyTextIndent3Char"/>
    <w:uiPriority w:val="99"/>
    <w:semiHidden/>
    <w:unhideWhenUsed/>
    <w:rsid w:val="0066205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62057"/>
    <w:rPr>
      <w:sz w:val="16"/>
      <w:szCs w:val="16"/>
    </w:rPr>
  </w:style>
  <w:style w:type="paragraph" w:styleId="BodyTextFirstIndent">
    <w:name w:val="Body Text First Indent"/>
    <w:basedOn w:val="BodyText"/>
    <w:link w:val="BodyTextFirstIndentChar"/>
    <w:uiPriority w:val="99"/>
    <w:semiHidden/>
    <w:unhideWhenUsed/>
    <w:rsid w:val="00662057"/>
    <w:pPr>
      <w:spacing w:after="160"/>
      <w:ind w:firstLine="360"/>
    </w:pPr>
  </w:style>
  <w:style w:type="character" w:customStyle="1" w:styleId="BodyTextFirstIndentChar">
    <w:name w:val="Body Text First Indent Char"/>
    <w:basedOn w:val="BodyTextChar"/>
    <w:link w:val="BodyTextFirstIndent"/>
    <w:uiPriority w:val="99"/>
    <w:semiHidden/>
    <w:rsid w:val="00662057"/>
  </w:style>
  <w:style w:type="paragraph" w:styleId="BodyTextIndent">
    <w:name w:val="Body Text Indent"/>
    <w:basedOn w:val="Normal"/>
    <w:link w:val="BodyTextIndentChar"/>
    <w:uiPriority w:val="99"/>
    <w:semiHidden/>
    <w:unhideWhenUsed/>
    <w:rsid w:val="00662057"/>
    <w:pPr>
      <w:spacing w:after="120"/>
      <w:ind w:left="283"/>
    </w:pPr>
  </w:style>
  <w:style w:type="character" w:customStyle="1" w:styleId="BodyTextIndentChar">
    <w:name w:val="Body Text Indent Char"/>
    <w:basedOn w:val="DefaultParagraphFont"/>
    <w:link w:val="BodyTextIndent"/>
    <w:uiPriority w:val="99"/>
    <w:semiHidden/>
    <w:rsid w:val="00662057"/>
  </w:style>
  <w:style w:type="paragraph" w:styleId="BodyTextFirstIndent2">
    <w:name w:val="Body Text First Indent 2"/>
    <w:basedOn w:val="BodyTextIndent"/>
    <w:link w:val="BodyTextFirstIndent2Char"/>
    <w:uiPriority w:val="99"/>
    <w:semiHidden/>
    <w:unhideWhenUsed/>
    <w:rsid w:val="00662057"/>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662057"/>
  </w:style>
  <w:style w:type="paragraph" w:styleId="EnvelopeReturn">
    <w:name w:val="envelope return"/>
    <w:basedOn w:val="Normal"/>
    <w:uiPriority w:val="99"/>
    <w:semiHidden/>
    <w:unhideWhenUsed/>
    <w:rsid w:val="00662057"/>
    <w:pPr>
      <w:spacing w:after="0" w:line="240" w:lineRule="auto"/>
    </w:pPr>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662057"/>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Signature">
    <w:name w:val="Signature"/>
    <w:basedOn w:val="Normal"/>
    <w:link w:val="SignatureChar"/>
    <w:uiPriority w:val="99"/>
    <w:semiHidden/>
    <w:unhideWhenUsed/>
    <w:rsid w:val="00662057"/>
    <w:pPr>
      <w:spacing w:after="0" w:line="240" w:lineRule="auto"/>
      <w:ind w:left="4252"/>
    </w:pPr>
  </w:style>
  <w:style w:type="character" w:customStyle="1" w:styleId="SignatureChar">
    <w:name w:val="Signature Char"/>
    <w:basedOn w:val="DefaultParagraphFont"/>
    <w:link w:val="Signature"/>
    <w:uiPriority w:val="99"/>
    <w:semiHidden/>
    <w:rsid w:val="00662057"/>
  </w:style>
  <w:style w:type="paragraph" w:styleId="TOC1">
    <w:name w:val="toc 1"/>
    <w:basedOn w:val="Normal"/>
    <w:next w:val="Normal"/>
    <w:uiPriority w:val="39"/>
    <w:semiHidden/>
    <w:unhideWhenUsed/>
    <w:rsid w:val="00662057"/>
    <w:pPr>
      <w:spacing w:after="100"/>
    </w:pPr>
  </w:style>
  <w:style w:type="paragraph" w:styleId="TOC2">
    <w:name w:val="toc 2"/>
    <w:basedOn w:val="Normal"/>
    <w:next w:val="Normal"/>
    <w:uiPriority w:val="39"/>
    <w:semiHidden/>
    <w:unhideWhenUsed/>
    <w:rsid w:val="00662057"/>
    <w:pPr>
      <w:spacing w:after="100"/>
      <w:ind w:left="220"/>
    </w:pPr>
  </w:style>
  <w:style w:type="paragraph" w:styleId="TOC3">
    <w:name w:val="toc 3"/>
    <w:basedOn w:val="Normal"/>
    <w:next w:val="Normal"/>
    <w:uiPriority w:val="39"/>
    <w:semiHidden/>
    <w:unhideWhenUsed/>
    <w:rsid w:val="00662057"/>
    <w:pPr>
      <w:spacing w:after="100"/>
      <w:ind w:left="440"/>
    </w:pPr>
  </w:style>
  <w:style w:type="paragraph" w:styleId="TOC4">
    <w:name w:val="toc 4"/>
    <w:basedOn w:val="Normal"/>
    <w:next w:val="Normal"/>
    <w:uiPriority w:val="39"/>
    <w:semiHidden/>
    <w:unhideWhenUsed/>
    <w:rsid w:val="00662057"/>
    <w:pPr>
      <w:spacing w:after="100"/>
      <w:ind w:left="660"/>
    </w:pPr>
  </w:style>
  <w:style w:type="paragraph" w:styleId="TOC5">
    <w:name w:val="toc 5"/>
    <w:basedOn w:val="Normal"/>
    <w:next w:val="Normal"/>
    <w:uiPriority w:val="39"/>
    <w:semiHidden/>
    <w:unhideWhenUsed/>
    <w:rsid w:val="00662057"/>
    <w:pPr>
      <w:spacing w:after="100"/>
      <w:ind w:left="880"/>
    </w:pPr>
  </w:style>
  <w:style w:type="paragraph" w:styleId="TOC6">
    <w:name w:val="toc 6"/>
    <w:basedOn w:val="Normal"/>
    <w:next w:val="Normal"/>
    <w:uiPriority w:val="39"/>
    <w:semiHidden/>
    <w:unhideWhenUsed/>
    <w:rsid w:val="00662057"/>
    <w:pPr>
      <w:spacing w:after="100"/>
      <w:ind w:left="1100"/>
    </w:pPr>
  </w:style>
  <w:style w:type="paragraph" w:styleId="TOC7">
    <w:name w:val="toc 7"/>
    <w:basedOn w:val="Normal"/>
    <w:next w:val="Normal"/>
    <w:uiPriority w:val="39"/>
    <w:semiHidden/>
    <w:unhideWhenUsed/>
    <w:rsid w:val="00662057"/>
    <w:pPr>
      <w:spacing w:after="100"/>
      <w:ind w:left="1320"/>
    </w:pPr>
  </w:style>
  <w:style w:type="paragraph" w:styleId="TOC8">
    <w:name w:val="toc 8"/>
    <w:basedOn w:val="Normal"/>
    <w:next w:val="Normal"/>
    <w:uiPriority w:val="39"/>
    <w:semiHidden/>
    <w:unhideWhenUsed/>
    <w:rsid w:val="00662057"/>
    <w:pPr>
      <w:spacing w:after="100"/>
      <w:ind w:left="1540"/>
    </w:pPr>
  </w:style>
  <w:style w:type="paragraph" w:styleId="TOC9">
    <w:name w:val="toc 9"/>
    <w:basedOn w:val="Normal"/>
    <w:next w:val="Normal"/>
    <w:uiPriority w:val="39"/>
    <w:semiHidden/>
    <w:unhideWhenUsed/>
    <w:rsid w:val="00662057"/>
    <w:pPr>
      <w:spacing w:after="100"/>
      <w:ind w:left="1760"/>
    </w:pPr>
  </w:style>
  <w:style w:type="character" w:styleId="Hyperlink">
    <w:name w:val="Hyperlink"/>
    <w:basedOn w:val="DefaultParagraphFont"/>
    <w:uiPriority w:val="99"/>
    <w:unhideWhenUsed/>
    <w:rsid w:val="00DD3B76"/>
    <w:rPr>
      <w:color w:val="467886" w:themeColor="hyperlink"/>
      <w:u w:val="single"/>
    </w:rPr>
  </w:style>
  <w:style w:type="character" w:customStyle="1" w:styleId="Mentionnonrsolue1">
    <w:name w:val="Mention non résolue1"/>
    <w:basedOn w:val="DefaultParagraphFont"/>
    <w:uiPriority w:val="99"/>
    <w:semiHidden/>
    <w:unhideWhenUsed/>
    <w:rsid w:val="00DD3B76"/>
    <w:rPr>
      <w:color w:val="605E5C"/>
      <w:shd w:val="clear" w:color="auto" w:fill="E1DFDD"/>
    </w:rPr>
  </w:style>
  <w:style w:type="character" w:styleId="CommentReference">
    <w:name w:val="annotation reference"/>
    <w:basedOn w:val="DefaultParagraphFont"/>
    <w:uiPriority w:val="99"/>
    <w:semiHidden/>
    <w:unhideWhenUsed/>
    <w:rsid w:val="00DD3B76"/>
    <w:rPr>
      <w:sz w:val="16"/>
      <w:szCs w:val="16"/>
    </w:rPr>
  </w:style>
  <w:style w:type="paragraph" w:customStyle="1" w:styleId="xmsoplaintext">
    <w:name w:val="xmsoplaintext"/>
    <w:basedOn w:val="Normal"/>
    <w:rsid w:val="00DD3B76"/>
    <w:pPr>
      <w:spacing w:before="100" w:beforeAutospacing="1" w:after="100" w:afterAutospacing="1" w:line="240" w:lineRule="auto"/>
    </w:pPr>
    <w:rPr>
      <w:rFonts w:ascii="Calibri" w:hAnsi="Calibri" w:cs="Calibri"/>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714417">
      <w:bodyDiv w:val="1"/>
      <w:marLeft w:val="0"/>
      <w:marRight w:val="0"/>
      <w:marTop w:val="0"/>
      <w:marBottom w:val="0"/>
      <w:divBdr>
        <w:top w:val="none" w:sz="0" w:space="0" w:color="auto"/>
        <w:left w:val="none" w:sz="0" w:space="0" w:color="auto"/>
        <w:bottom w:val="none" w:sz="0" w:space="0" w:color="auto"/>
        <w:right w:val="none" w:sz="0" w:space="0" w:color="auto"/>
      </w:divBdr>
    </w:div>
    <w:div w:id="47954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png"/><Relationship Id="rId18" Type="http://schemas.openxmlformats.org/officeDocument/2006/relationships/hyperlink" Target="mailto:filip.de.jaeger@fedustria.b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mailto:katja.devos@fedustria.b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wiinz.world/"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atf.news/" TargetMode="External"/><Relationship Id="rId23" Type="http://schemas.openxmlformats.org/officeDocument/2006/relationships/header" Target="header3.xml"/><Relationship Id="rId10" Type="http://schemas.openxmlformats.org/officeDocument/2006/relationships/chart" Target="charts/chart3.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WATF" TargetMode="Externa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FilipD\Documents\Omzetontwikkeling%20meubelindustri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3" Type="http://schemas.openxmlformats.org/officeDocument/2006/relationships/oleObject" Target="file:///C:\Users\FilipD\Documents\bestellingen%20meubelhandel.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nl-BE" sz="1100"/>
              <a:t>Umsatzentwicklun</a:t>
            </a:r>
            <a:r>
              <a:rPr lang="nl-BE" sz="1100" baseline="0"/>
              <a:t>g in der belgischen Möbelindustrie</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Blad1!$K$2</c:f>
              <c:strCache>
                <c:ptCount val="1"/>
                <c:pt idx="0">
                  <c:v>Umsatz</c:v>
                </c:pt>
              </c:strCache>
            </c:strRef>
          </c:tx>
          <c:spPr>
            <a:solidFill>
              <a:schemeClr val="accent1"/>
            </a:solidFill>
            <a:ln>
              <a:noFill/>
            </a:ln>
            <a:effectLst/>
          </c:spPr>
          <c:invertIfNegative val="0"/>
          <c:cat>
            <c:numRef>
              <c:f>Blad1!$L$1:$S$1</c:f>
              <c:numCache>
                <c:formatCode>General</c:formatCode>
                <c:ptCount val="8"/>
                <c:pt idx="0">
                  <c:v>2016</c:v>
                </c:pt>
                <c:pt idx="1">
                  <c:v>2017</c:v>
                </c:pt>
                <c:pt idx="2">
                  <c:v>2018</c:v>
                </c:pt>
                <c:pt idx="3">
                  <c:v>2019</c:v>
                </c:pt>
                <c:pt idx="4">
                  <c:v>2020</c:v>
                </c:pt>
                <c:pt idx="5">
                  <c:v>2021</c:v>
                </c:pt>
                <c:pt idx="6">
                  <c:v>2022</c:v>
                </c:pt>
                <c:pt idx="7">
                  <c:v>2023</c:v>
                </c:pt>
              </c:numCache>
            </c:numRef>
          </c:cat>
          <c:val>
            <c:numRef>
              <c:f>Blad1!$L$2:$S$2</c:f>
              <c:numCache>
                <c:formatCode>General</c:formatCode>
                <c:ptCount val="8"/>
                <c:pt idx="0">
                  <c:v>2280.1999999999998</c:v>
                </c:pt>
                <c:pt idx="1">
                  <c:v>2144</c:v>
                </c:pt>
                <c:pt idx="2">
                  <c:v>2084.1</c:v>
                </c:pt>
                <c:pt idx="3">
                  <c:v>2091.4</c:v>
                </c:pt>
                <c:pt idx="4">
                  <c:v>2067.3000000000002</c:v>
                </c:pt>
                <c:pt idx="5">
                  <c:v>2272.1</c:v>
                </c:pt>
                <c:pt idx="6">
                  <c:v>2263.5</c:v>
                </c:pt>
                <c:pt idx="7">
                  <c:v>2104</c:v>
                </c:pt>
              </c:numCache>
            </c:numRef>
          </c:val>
          <c:extLst>
            <c:ext xmlns:c16="http://schemas.microsoft.com/office/drawing/2014/chart" uri="{C3380CC4-5D6E-409C-BE32-E72D297353CC}">
              <c16:uniqueId val="{00000000-D98F-421B-827B-45B335BBE99C}"/>
            </c:ext>
          </c:extLst>
        </c:ser>
        <c:dLbls>
          <c:showLegendKey val="0"/>
          <c:showVal val="0"/>
          <c:showCatName val="0"/>
          <c:showSerName val="0"/>
          <c:showPercent val="0"/>
          <c:showBubbleSize val="0"/>
        </c:dLbls>
        <c:gapWidth val="150"/>
        <c:axId val="1073989984"/>
        <c:axId val="1075920288"/>
      </c:barChart>
      <c:lineChart>
        <c:grouping val="standard"/>
        <c:varyColors val="0"/>
        <c:ser>
          <c:idx val="1"/>
          <c:order val="1"/>
          <c:tx>
            <c:strRef>
              <c:f>Blad1!$K$3</c:f>
              <c:strCache>
                <c:ptCount val="1"/>
                <c:pt idx="0">
                  <c:v>Wachstumsrate</c:v>
                </c:pt>
              </c:strCache>
            </c:strRef>
          </c:tx>
          <c:spPr>
            <a:ln w="28575" cap="rnd">
              <a:solidFill>
                <a:schemeClr val="accent2"/>
              </a:solidFill>
              <a:round/>
            </a:ln>
            <a:effectLst/>
          </c:spPr>
          <c:marker>
            <c:symbol val="none"/>
          </c:marker>
          <c:dLbls>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Blad1!$L$1:$S$1</c:f>
              <c:numCache>
                <c:formatCode>General</c:formatCode>
                <c:ptCount val="8"/>
                <c:pt idx="0">
                  <c:v>2016</c:v>
                </c:pt>
                <c:pt idx="1">
                  <c:v>2017</c:v>
                </c:pt>
                <c:pt idx="2">
                  <c:v>2018</c:v>
                </c:pt>
                <c:pt idx="3">
                  <c:v>2019</c:v>
                </c:pt>
                <c:pt idx="4">
                  <c:v>2020</c:v>
                </c:pt>
                <c:pt idx="5">
                  <c:v>2021</c:v>
                </c:pt>
                <c:pt idx="6">
                  <c:v>2022</c:v>
                </c:pt>
                <c:pt idx="7">
                  <c:v>2023</c:v>
                </c:pt>
              </c:numCache>
            </c:numRef>
          </c:cat>
          <c:val>
            <c:numRef>
              <c:f>Blad1!$L$3:$S$3</c:f>
              <c:numCache>
                <c:formatCode>0.00%</c:formatCode>
                <c:ptCount val="8"/>
                <c:pt idx="0">
                  <c:v>2.1000000000000001E-2</c:v>
                </c:pt>
                <c:pt idx="1">
                  <c:v>-7.2999999999999995E-2</c:v>
                </c:pt>
                <c:pt idx="2">
                  <c:v>-1.4E-2</c:v>
                </c:pt>
                <c:pt idx="3">
                  <c:v>3.0000000000000001E-3</c:v>
                </c:pt>
                <c:pt idx="4">
                  <c:v>-1.2E-2</c:v>
                </c:pt>
                <c:pt idx="5">
                  <c:v>9.9000000000000005E-2</c:v>
                </c:pt>
                <c:pt idx="6">
                  <c:v>-4.0000000000000001E-3</c:v>
                </c:pt>
                <c:pt idx="7" formatCode="0%">
                  <c:v>-7.0000000000000007E-2</c:v>
                </c:pt>
              </c:numCache>
            </c:numRef>
          </c:val>
          <c:smooth val="0"/>
          <c:extLst>
            <c:ext xmlns:c16="http://schemas.microsoft.com/office/drawing/2014/chart" uri="{C3380CC4-5D6E-409C-BE32-E72D297353CC}">
              <c16:uniqueId val="{00000001-D98F-421B-827B-45B335BBE99C}"/>
            </c:ext>
          </c:extLst>
        </c:ser>
        <c:dLbls>
          <c:showLegendKey val="0"/>
          <c:showVal val="0"/>
          <c:showCatName val="0"/>
          <c:showSerName val="0"/>
          <c:showPercent val="0"/>
          <c:showBubbleSize val="0"/>
        </c:dLbls>
        <c:marker val="1"/>
        <c:smooth val="0"/>
        <c:axId val="1075918848"/>
        <c:axId val="1075917408"/>
      </c:lineChart>
      <c:catAx>
        <c:axId val="1073989984"/>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75920288"/>
        <c:crosses val="autoZero"/>
        <c:auto val="1"/>
        <c:lblAlgn val="ctr"/>
        <c:lblOffset val="100"/>
        <c:noMultiLvlLbl val="0"/>
      </c:catAx>
      <c:valAx>
        <c:axId val="1075920288"/>
        <c:scaling>
          <c:orientation val="minMax"/>
          <c:min val="0"/>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73989984"/>
        <c:crosses val="autoZero"/>
        <c:crossBetween val="between"/>
      </c:valAx>
      <c:valAx>
        <c:axId val="1075917408"/>
        <c:scaling>
          <c:orientation val="minMax"/>
        </c:scaling>
        <c:delete val="0"/>
        <c:axPos val="r"/>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75918848"/>
        <c:crosses val="max"/>
        <c:crossBetween val="between"/>
      </c:valAx>
      <c:catAx>
        <c:axId val="1075918848"/>
        <c:scaling>
          <c:orientation val="minMax"/>
        </c:scaling>
        <c:delete val="1"/>
        <c:axPos val="b"/>
        <c:numFmt formatCode="General" sourceLinked="1"/>
        <c:majorTickMark val="none"/>
        <c:minorTickMark val="none"/>
        <c:tickLblPos val="nextTo"/>
        <c:crossAx val="107591740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8366360454943561E-2"/>
          <c:y val="0.18590093328760612"/>
          <c:w val="0.92507523760500066"/>
          <c:h val="0.69258888515566119"/>
        </c:manualLayout>
      </c:layout>
      <c:lineChart>
        <c:grouping val="standard"/>
        <c:varyColors val="0"/>
        <c:ser>
          <c:idx val="0"/>
          <c:order val="0"/>
          <c:spPr>
            <a:ln w="38100">
              <a:solidFill>
                <a:srgbClr val="FFC000"/>
              </a:solidFill>
              <a:prstDash val="solid"/>
            </a:ln>
          </c:spPr>
          <c:marker>
            <c:symbol val="circle"/>
            <c:size val="2"/>
          </c:marker>
          <c:dLbls>
            <c:numFmt formatCode="#,##0.0" sourceLinked="0"/>
            <c:spPr>
              <a:noFill/>
              <a:ln>
                <a:noFill/>
              </a:ln>
              <a:effectLst/>
            </c:spPr>
            <c:txPr>
              <a:bodyPr wrap="square" lIns="38100" tIns="19050" rIns="38100" bIns="19050" anchor="ctr">
                <a:spAutoFit/>
              </a:bodyPr>
              <a:lstStyle/>
              <a:p>
                <a:pPr>
                  <a:defRPr sz="800" b="1"/>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PRODKAP!$A$59:$A$93</c:f>
              <c:strCache>
                <c:ptCount val="35"/>
                <c:pt idx="0">
                  <c:v>IV/15</c:v>
                </c:pt>
                <c:pt idx="1">
                  <c:v>I/16</c:v>
                </c:pt>
                <c:pt idx="2">
                  <c:v>II/16</c:v>
                </c:pt>
                <c:pt idx="3">
                  <c:v>III/16</c:v>
                </c:pt>
                <c:pt idx="4">
                  <c:v>IV/16</c:v>
                </c:pt>
                <c:pt idx="5">
                  <c:v>I/17</c:v>
                </c:pt>
                <c:pt idx="6">
                  <c:v>II/17</c:v>
                </c:pt>
                <c:pt idx="7">
                  <c:v>III/17</c:v>
                </c:pt>
                <c:pt idx="8">
                  <c:v>IV/17</c:v>
                </c:pt>
                <c:pt idx="9">
                  <c:v>I/18</c:v>
                </c:pt>
                <c:pt idx="10">
                  <c:v>II/18</c:v>
                </c:pt>
                <c:pt idx="11">
                  <c:v>III/18</c:v>
                </c:pt>
                <c:pt idx="12">
                  <c:v>IV/18</c:v>
                </c:pt>
                <c:pt idx="13">
                  <c:v>I/19</c:v>
                </c:pt>
                <c:pt idx="14">
                  <c:v>II/19</c:v>
                </c:pt>
                <c:pt idx="15">
                  <c:v>III/19</c:v>
                </c:pt>
                <c:pt idx="16">
                  <c:v>IV/19</c:v>
                </c:pt>
                <c:pt idx="17">
                  <c:v>I/20</c:v>
                </c:pt>
                <c:pt idx="18">
                  <c:v>II/20</c:v>
                </c:pt>
                <c:pt idx="19">
                  <c:v>III/20</c:v>
                </c:pt>
                <c:pt idx="20">
                  <c:v>IV/20</c:v>
                </c:pt>
                <c:pt idx="21">
                  <c:v>I/21</c:v>
                </c:pt>
                <c:pt idx="22">
                  <c:v>II/21</c:v>
                </c:pt>
                <c:pt idx="23">
                  <c:v>III/21</c:v>
                </c:pt>
                <c:pt idx="24">
                  <c:v>IV/21</c:v>
                </c:pt>
                <c:pt idx="25">
                  <c:v>I/22</c:v>
                </c:pt>
                <c:pt idx="26">
                  <c:v>II/22</c:v>
                </c:pt>
                <c:pt idx="27">
                  <c:v>III/22</c:v>
                </c:pt>
                <c:pt idx="28">
                  <c:v>IV/22</c:v>
                </c:pt>
                <c:pt idx="29">
                  <c:v>I/23</c:v>
                </c:pt>
                <c:pt idx="30">
                  <c:v>II/23</c:v>
                </c:pt>
                <c:pt idx="31">
                  <c:v>III/23</c:v>
                </c:pt>
                <c:pt idx="32">
                  <c:v>IV/23</c:v>
                </c:pt>
                <c:pt idx="33">
                  <c:v>I/24</c:v>
                </c:pt>
                <c:pt idx="34">
                  <c:v>II/24</c:v>
                </c:pt>
              </c:strCache>
            </c:strRef>
          </c:cat>
          <c:val>
            <c:numRef>
              <c:f>PRODKAP!$B$59:$B$93</c:f>
              <c:numCache>
                <c:formatCode>0.0</c:formatCode>
                <c:ptCount val="35"/>
                <c:pt idx="0">
                  <c:v>82.88</c:v>
                </c:pt>
                <c:pt idx="1">
                  <c:v>81.2</c:v>
                </c:pt>
                <c:pt idx="2">
                  <c:v>80.099999999999994</c:v>
                </c:pt>
                <c:pt idx="3">
                  <c:v>80.8</c:v>
                </c:pt>
                <c:pt idx="4">
                  <c:v>80.3</c:v>
                </c:pt>
                <c:pt idx="5" formatCode="0.00">
                  <c:v>82.5</c:v>
                </c:pt>
                <c:pt idx="6" formatCode="0.00">
                  <c:v>80.3</c:v>
                </c:pt>
                <c:pt idx="7" formatCode="0.00">
                  <c:v>79</c:v>
                </c:pt>
                <c:pt idx="8" formatCode="0.00">
                  <c:v>75</c:v>
                </c:pt>
                <c:pt idx="9" formatCode="0.00">
                  <c:v>80.900000000000006</c:v>
                </c:pt>
                <c:pt idx="10" formatCode="0.00">
                  <c:v>79.900000000000006</c:v>
                </c:pt>
                <c:pt idx="11" formatCode="0.00">
                  <c:v>82</c:v>
                </c:pt>
                <c:pt idx="12" formatCode="0.00">
                  <c:v>81.5</c:v>
                </c:pt>
                <c:pt idx="13" formatCode="0.00">
                  <c:v>79</c:v>
                </c:pt>
                <c:pt idx="14" formatCode="0.00">
                  <c:v>80.7</c:v>
                </c:pt>
                <c:pt idx="15" formatCode="0.00">
                  <c:v>81.5</c:v>
                </c:pt>
                <c:pt idx="16" formatCode="0.00">
                  <c:v>83.2</c:v>
                </c:pt>
                <c:pt idx="17" formatCode="0.00">
                  <c:v>82</c:v>
                </c:pt>
                <c:pt idx="18" formatCode="0.00">
                  <c:v>84</c:v>
                </c:pt>
                <c:pt idx="19" formatCode="0.00">
                  <c:v>86</c:v>
                </c:pt>
                <c:pt idx="20" formatCode="0.00">
                  <c:v>83.3</c:v>
                </c:pt>
                <c:pt idx="21" formatCode="0.00">
                  <c:v>86.5</c:v>
                </c:pt>
                <c:pt idx="22" formatCode="0.00">
                  <c:v>87.5</c:v>
                </c:pt>
                <c:pt idx="23" formatCode="0.00">
                  <c:v>85.9</c:v>
                </c:pt>
                <c:pt idx="24" formatCode="0.00">
                  <c:v>86.2</c:v>
                </c:pt>
                <c:pt idx="25" formatCode="0.00">
                  <c:v>83.4</c:v>
                </c:pt>
                <c:pt idx="26" formatCode="0.00">
                  <c:v>89</c:v>
                </c:pt>
                <c:pt idx="27" formatCode="0.00">
                  <c:v>80.2</c:v>
                </c:pt>
                <c:pt idx="28" formatCode="0.00">
                  <c:v>76.5</c:v>
                </c:pt>
                <c:pt idx="29" formatCode="0.00">
                  <c:v>75.900000000000006</c:v>
                </c:pt>
                <c:pt idx="30" formatCode="0.00">
                  <c:v>72.5</c:v>
                </c:pt>
                <c:pt idx="31" formatCode="0.00">
                  <c:v>71.3</c:v>
                </c:pt>
                <c:pt idx="32" formatCode="0.00">
                  <c:v>74.3</c:v>
                </c:pt>
                <c:pt idx="33" formatCode="0.00">
                  <c:v>73.2</c:v>
                </c:pt>
                <c:pt idx="34" formatCode="0.00">
                  <c:v>68</c:v>
                </c:pt>
              </c:numCache>
            </c:numRef>
          </c:val>
          <c:smooth val="0"/>
          <c:extLst>
            <c:ext xmlns:c16="http://schemas.microsoft.com/office/drawing/2014/chart" uri="{C3380CC4-5D6E-409C-BE32-E72D297353CC}">
              <c16:uniqueId val="{00000000-33FD-40F2-9416-8BEFCF241368}"/>
            </c:ext>
          </c:extLst>
        </c:ser>
        <c:dLbls>
          <c:dLblPos val="t"/>
          <c:showLegendKey val="0"/>
          <c:showVal val="1"/>
          <c:showCatName val="0"/>
          <c:showSerName val="0"/>
          <c:showPercent val="0"/>
          <c:showBubbleSize val="0"/>
        </c:dLbls>
        <c:marker val="1"/>
        <c:smooth val="0"/>
        <c:axId val="301009920"/>
        <c:axId val="301019904"/>
      </c:lineChart>
      <c:catAx>
        <c:axId val="301009920"/>
        <c:scaling>
          <c:orientation val="minMax"/>
        </c:scaling>
        <c:delete val="0"/>
        <c:axPos val="b"/>
        <c:numFmt formatCode="General" sourceLinked="1"/>
        <c:majorTickMark val="out"/>
        <c:minorTickMark val="none"/>
        <c:tickLblPos val="nextTo"/>
        <c:spPr>
          <a:ln w="1963">
            <a:solidFill>
              <a:srgbClr val="000000"/>
            </a:solidFill>
            <a:prstDash val="solid"/>
          </a:ln>
        </c:spPr>
        <c:txPr>
          <a:bodyPr rot="0" vert="horz"/>
          <a:lstStyle/>
          <a:p>
            <a:pPr>
              <a:defRPr sz="500"/>
            </a:pPr>
            <a:endParaRPr lang="fr-FR"/>
          </a:p>
        </c:txPr>
        <c:crossAx val="301019904"/>
        <c:crosses val="autoZero"/>
        <c:auto val="1"/>
        <c:lblAlgn val="ctr"/>
        <c:lblOffset val="100"/>
        <c:tickLblSkip val="1"/>
        <c:tickMarkSkip val="1"/>
        <c:noMultiLvlLbl val="0"/>
      </c:catAx>
      <c:valAx>
        <c:axId val="301019904"/>
        <c:scaling>
          <c:orientation val="minMax"/>
          <c:min val="60"/>
        </c:scaling>
        <c:delete val="0"/>
        <c:axPos val="l"/>
        <c:majorGridlines>
          <c:spPr>
            <a:ln w="1963">
              <a:solidFill>
                <a:srgbClr val="000000"/>
              </a:solidFill>
              <a:prstDash val="sysDot"/>
            </a:ln>
          </c:spPr>
        </c:majorGridlines>
        <c:title>
          <c:tx>
            <c:rich>
              <a:bodyPr rot="0" vert="horz"/>
              <a:lstStyle/>
              <a:p>
                <a:pPr algn="ctr">
                  <a:defRPr/>
                </a:pPr>
                <a:r>
                  <a:rPr lang="nl-BE"/>
                  <a:t>in %</a:t>
                </a:r>
              </a:p>
            </c:rich>
          </c:tx>
          <c:layout>
            <c:manualLayout>
              <c:xMode val="edge"/>
              <c:yMode val="edge"/>
              <c:x val="1.1873609504026416E-2"/>
              <c:y val="6.6370136189310633E-2"/>
            </c:manualLayout>
          </c:layout>
          <c:overlay val="0"/>
          <c:spPr>
            <a:noFill/>
            <a:ln w="22404">
              <a:noFill/>
            </a:ln>
          </c:spPr>
        </c:title>
        <c:numFmt formatCode="0" sourceLinked="0"/>
        <c:majorTickMark val="out"/>
        <c:minorTickMark val="none"/>
        <c:tickLblPos val="nextTo"/>
        <c:spPr>
          <a:ln w="1963">
            <a:solidFill>
              <a:srgbClr val="000000"/>
            </a:solidFill>
            <a:prstDash val="solid"/>
          </a:ln>
        </c:spPr>
        <c:txPr>
          <a:bodyPr rot="0" vert="horz"/>
          <a:lstStyle/>
          <a:p>
            <a:pPr>
              <a:defRPr/>
            </a:pPr>
            <a:endParaRPr lang="fr-FR"/>
          </a:p>
        </c:txPr>
        <c:crossAx val="301009920"/>
        <c:crosses val="autoZero"/>
        <c:crossBetween val="between"/>
      </c:valAx>
      <c:spPr>
        <a:noFill/>
        <a:ln w="1963">
          <a:solidFill>
            <a:srgbClr val="000000"/>
          </a:solidFill>
          <a:prstDash val="solid"/>
        </a:ln>
      </c:spPr>
    </c:plotArea>
    <c:plotVisOnly val="1"/>
    <c:dispBlanksAs val="gap"/>
    <c:showDLblsOverMax val="0"/>
  </c:chart>
  <c:spPr>
    <a:noFill/>
    <a:ln>
      <a:noFill/>
    </a:ln>
  </c:spPr>
  <c:txPr>
    <a:bodyPr/>
    <a:lstStyle/>
    <a:p>
      <a:pPr>
        <a:defRPr sz="1000" b="0" i="0" u="none" strike="noStrike" baseline="0">
          <a:solidFill>
            <a:srgbClr val="000000"/>
          </a:solidFill>
          <a:latin typeface="Calibri" pitchFamily="34" charset="0"/>
          <a:ea typeface="Myriad Pro"/>
          <a:cs typeface="Calibri" pitchFamily="34" charset="0"/>
        </a:defRPr>
      </a:pPr>
      <a:endParaRPr lang="fr-F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nl-BE" b="1"/>
              <a:t>Entwicklun</a:t>
            </a:r>
            <a:r>
              <a:rPr lang="nl-BE" b="1" baseline="0"/>
              <a:t>g der Bestellungen im Möbelhandel</a:t>
            </a:r>
          </a:p>
          <a:p>
            <a:pPr>
              <a:defRPr b="1"/>
            </a:pPr>
            <a:r>
              <a:rPr lang="nl-BE" b="1" baseline="0"/>
              <a:t>(Cumul 8 M 2024 = -2,8%)</a:t>
            </a:r>
            <a:endParaRPr lang="nl-BE" b="1"/>
          </a:p>
        </c:rich>
      </c:tx>
      <c:layout>
        <c:manualLayout>
          <c:xMode val="edge"/>
          <c:yMode val="edge"/>
          <c:x val="0.20583659681428709"/>
          <c:y val="3.2756200280767429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spPr>
            <a:solidFill>
              <a:srgbClr val="FFC000"/>
            </a:solidFill>
            <a:ln>
              <a:noFill/>
            </a:ln>
            <a:effectLst/>
          </c:spPr>
          <c:invertIfNegative val="0"/>
          <c:cat>
            <c:multiLvlStrRef>
              <c:f>Blad1!$A$13:$B$44</c:f>
              <c:multiLvlStrCache>
                <c:ptCount val="32"/>
                <c:lvl>
                  <c:pt idx="0">
                    <c:v>J</c:v>
                  </c:pt>
                  <c:pt idx="1">
                    <c:v>F</c:v>
                  </c:pt>
                  <c:pt idx="2">
                    <c:v>M</c:v>
                  </c:pt>
                  <c:pt idx="3">
                    <c:v>A</c:v>
                  </c:pt>
                  <c:pt idx="4">
                    <c:v>M</c:v>
                  </c:pt>
                  <c:pt idx="5">
                    <c:v>J</c:v>
                  </c:pt>
                  <c:pt idx="6">
                    <c:v>J</c:v>
                  </c:pt>
                  <c:pt idx="7">
                    <c:v>A</c:v>
                  </c:pt>
                  <c:pt idx="8">
                    <c:v>S</c:v>
                  </c:pt>
                  <c:pt idx="9">
                    <c:v>O</c:v>
                  </c:pt>
                  <c:pt idx="10">
                    <c:v>N</c:v>
                  </c:pt>
                  <c:pt idx="11">
                    <c:v>D</c:v>
                  </c:pt>
                  <c:pt idx="12">
                    <c:v>J</c:v>
                  </c:pt>
                  <c:pt idx="13">
                    <c:v>F</c:v>
                  </c:pt>
                  <c:pt idx="14">
                    <c:v>M</c:v>
                  </c:pt>
                  <c:pt idx="15">
                    <c:v>A</c:v>
                  </c:pt>
                  <c:pt idx="16">
                    <c:v>M</c:v>
                  </c:pt>
                  <c:pt idx="17">
                    <c:v>J</c:v>
                  </c:pt>
                  <c:pt idx="18">
                    <c:v>J</c:v>
                  </c:pt>
                  <c:pt idx="19">
                    <c:v>A</c:v>
                  </c:pt>
                  <c:pt idx="20">
                    <c:v>S</c:v>
                  </c:pt>
                  <c:pt idx="21">
                    <c:v>O</c:v>
                  </c:pt>
                  <c:pt idx="22">
                    <c:v>N</c:v>
                  </c:pt>
                  <c:pt idx="23">
                    <c:v>D</c:v>
                  </c:pt>
                  <c:pt idx="24">
                    <c:v>J</c:v>
                  </c:pt>
                  <c:pt idx="25">
                    <c:v>F</c:v>
                  </c:pt>
                  <c:pt idx="26">
                    <c:v>M</c:v>
                  </c:pt>
                  <c:pt idx="27">
                    <c:v>A</c:v>
                  </c:pt>
                  <c:pt idx="28">
                    <c:v>M</c:v>
                  </c:pt>
                  <c:pt idx="29">
                    <c:v>J</c:v>
                  </c:pt>
                  <c:pt idx="30">
                    <c:v>J</c:v>
                  </c:pt>
                  <c:pt idx="31">
                    <c:v>A</c:v>
                  </c:pt>
                </c:lvl>
                <c:lvl>
                  <c:pt idx="0">
                    <c:v>2022</c:v>
                  </c:pt>
                  <c:pt idx="12">
                    <c:v>2023</c:v>
                  </c:pt>
                  <c:pt idx="24">
                    <c:v>2024</c:v>
                  </c:pt>
                </c:lvl>
              </c:multiLvlStrCache>
            </c:multiLvlStrRef>
          </c:cat>
          <c:val>
            <c:numRef>
              <c:f>Blad1!$C$13:$C$44</c:f>
              <c:numCache>
                <c:formatCode>0.0%</c:formatCode>
                <c:ptCount val="32"/>
                <c:pt idx="0">
                  <c:v>6.0999999999999999E-2</c:v>
                </c:pt>
                <c:pt idx="1">
                  <c:v>-0.12</c:v>
                </c:pt>
                <c:pt idx="2">
                  <c:v>-0.14399999999999999</c:v>
                </c:pt>
                <c:pt idx="3">
                  <c:v>0.191</c:v>
                </c:pt>
                <c:pt idx="4">
                  <c:v>-0.14799999999999999</c:v>
                </c:pt>
                <c:pt idx="5">
                  <c:v>1E-3</c:v>
                </c:pt>
                <c:pt idx="6">
                  <c:v>-0.1</c:v>
                </c:pt>
                <c:pt idx="7">
                  <c:v>-2.8000000000000001E-2</c:v>
                </c:pt>
                <c:pt idx="8">
                  <c:v>0.184</c:v>
                </c:pt>
                <c:pt idx="9">
                  <c:v>7.3999999999999996E-2</c:v>
                </c:pt>
                <c:pt idx="10">
                  <c:v>6.3E-2</c:v>
                </c:pt>
                <c:pt idx="11">
                  <c:v>0.11899999999999999</c:v>
                </c:pt>
                <c:pt idx="12">
                  <c:v>4.7E-2</c:v>
                </c:pt>
                <c:pt idx="13">
                  <c:v>0.14199999999999999</c:v>
                </c:pt>
                <c:pt idx="14">
                  <c:v>0.246</c:v>
                </c:pt>
                <c:pt idx="15">
                  <c:v>9.0999999999999998E-2</c:v>
                </c:pt>
                <c:pt idx="16">
                  <c:v>6.8000000000000005E-2</c:v>
                </c:pt>
                <c:pt idx="17">
                  <c:v>7.0000000000000001E-3</c:v>
                </c:pt>
                <c:pt idx="18">
                  <c:v>0.19900000000000001</c:v>
                </c:pt>
                <c:pt idx="19">
                  <c:v>0.112</c:v>
                </c:pt>
                <c:pt idx="20">
                  <c:v>1E-3</c:v>
                </c:pt>
                <c:pt idx="21">
                  <c:v>5.1999999999999998E-2</c:v>
                </c:pt>
                <c:pt idx="22">
                  <c:v>0.05</c:v>
                </c:pt>
                <c:pt idx="23">
                  <c:v>2.3E-2</c:v>
                </c:pt>
                <c:pt idx="24">
                  <c:v>-3.6999999999999998E-2</c:v>
                </c:pt>
                <c:pt idx="25">
                  <c:v>3.0000000000000001E-3</c:v>
                </c:pt>
                <c:pt idx="26">
                  <c:v>-6.0999999999999999E-2</c:v>
                </c:pt>
                <c:pt idx="27">
                  <c:v>-8.4000000000000005E-2</c:v>
                </c:pt>
                <c:pt idx="28">
                  <c:v>5.8000000000000003E-2</c:v>
                </c:pt>
                <c:pt idx="29">
                  <c:v>0.193</c:v>
                </c:pt>
                <c:pt idx="30">
                  <c:v>-0.11700000000000001</c:v>
                </c:pt>
                <c:pt idx="31">
                  <c:v>-0.109</c:v>
                </c:pt>
              </c:numCache>
            </c:numRef>
          </c:val>
          <c:extLst>
            <c:ext xmlns:c16="http://schemas.microsoft.com/office/drawing/2014/chart" uri="{C3380CC4-5D6E-409C-BE32-E72D297353CC}">
              <c16:uniqueId val="{00000000-CD4D-407D-AB6D-486DF242FC82}"/>
            </c:ext>
          </c:extLst>
        </c:ser>
        <c:dLbls>
          <c:showLegendKey val="0"/>
          <c:showVal val="0"/>
          <c:showCatName val="0"/>
          <c:showSerName val="0"/>
          <c:showPercent val="0"/>
          <c:showBubbleSize val="0"/>
        </c:dLbls>
        <c:gapWidth val="219"/>
        <c:overlap val="-27"/>
        <c:axId val="385869664"/>
        <c:axId val="385869184"/>
      </c:barChart>
      <c:catAx>
        <c:axId val="385869664"/>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fr-FR"/>
          </a:p>
        </c:txPr>
        <c:crossAx val="385869184"/>
        <c:crosses val="autoZero"/>
        <c:auto val="1"/>
        <c:lblAlgn val="ctr"/>
        <c:lblOffset val="100"/>
        <c:noMultiLvlLbl val="0"/>
      </c:catAx>
      <c:valAx>
        <c:axId val="385869184"/>
        <c:scaling>
          <c:orientation val="minMax"/>
        </c:scaling>
        <c:delete val="0"/>
        <c:axPos val="l"/>
        <c:majorGridlines>
          <c:spPr>
            <a:ln w="9525">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fr-FR"/>
          </a:p>
        </c:txPr>
        <c:crossAx val="3858696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3576</Words>
  <Characters>19674</Characters>
  <Application>Microsoft Office Word</Application>
  <DocSecurity>0</DocSecurity>
  <Lines>163</Lines>
  <Paragraphs>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Hibert</dc:creator>
  <cp:keywords/>
  <dc:description/>
  <cp:lastModifiedBy>Thomas Hibert</cp:lastModifiedBy>
  <cp:revision>2</cp:revision>
  <cp:lastPrinted>2024-11-03T16:55:00Z</cp:lastPrinted>
  <dcterms:created xsi:type="dcterms:W3CDTF">2024-11-03T17:21:00Z</dcterms:created>
  <dcterms:modified xsi:type="dcterms:W3CDTF">2024-11-03T17:21:00Z</dcterms:modified>
</cp:coreProperties>
</file>